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1512A" w14:textId="6AB4DFB2" w:rsidR="006A084A" w:rsidRPr="008B1C54" w:rsidRDefault="006A084A" w:rsidP="008B1C54">
      <w:pPr>
        <w:spacing w:after="0" w:line="480" w:lineRule="auto"/>
        <w:rPr>
          <w:rFonts w:ascii="Montserrat" w:eastAsia="Times New Roman" w:hAnsi="Montserrat" w:cstheme="minorHAnsi"/>
          <w:b/>
          <w:sz w:val="24"/>
          <w:szCs w:val="24"/>
        </w:rPr>
      </w:pPr>
      <w:r w:rsidRPr="008B1C54">
        <w:rPr>
          <w:rFonts w:ascii="Montserrat" w:eastAsia="Times New Roman" w:hAnsi="Montserrat" w:cstheme="minorHAnsi"/>
          <w:b/>
          <w:sz w:val="24"/>
          <w:szCs w:val="24"/>
        </w:rPr>
        <w:t xml:space="preserve">A Sample Three-Year Writing-for-Publication Plan </w:t>
      </w:r>
    </w:p>
    <w:tbl>
      <w:tblPr>
        <w:tblpPr w:leftFromText="180" w:rightFromText="180" w:horzAnchor="margin" w:tblpY="468"/>
        <w:tblW w:w="10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5"/>
        <w:gridCol w:w="162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8B1C54" w:rsidRPr="00B66315" w14:paraId="44EE52EC" w14:textId="77777777" w:rsidTr="008B1C54">
        <w:tc>
          <w:tcPr>
            <w:tcW w:w="2155" w:type="dxa"/>
            <w:vMerge w:val="restart"/>
          </w:tcPr>
          <w:p w14:paraId="15F3788D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  <w:b/>
              </w:rPr>
            </w:pPr>
            <w:r w:rsidRPr="008B1C54">
              <w:rPr>
                <w:rFonts w:ascii="Bembo Std" w:hAnsi="Bembo Std" w:cstheme="minorHAnsi"/>
                <w:b/>
              </w:rPr>
              <w:t>Genre</w:t>
            </w:r>
          </w:p>
        </w:tc>
        <w:tc>
          <w:tcPr>
            <w:tcW w:w="1620" w:type="dxa"/>
            <w:vMerge w:val="restart"/>
          </w:tcPr>
          <w:p w14:paraId="386466DB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  <w:b/>
              </w:rPr>
            </w:pPr>
            <w:r w:rsidRPr="008B1C54">
              <w:rPr>
                <w:rFonts w:ascii="Bembo Std" w:hAnsi="Bembo Std" w:cstheme="minorHAnsi"/>
                <w:b/>
              </w:rPr>
              <w:t>Outlet</w:t>
            </w:r>
          </w:p>
        </w:tc>
        <w:tc>
          <w:tcPr>
            <w:tcW w:w="2160" w:type="dxa"/>
            <w:gridSpan w:val="4"/>
          </w:tcPr>
          <w:p w14:paraId="7ECAAAC8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  <w:b/>
              </w:rPr>
            </w:pPr>
            <w:r w:rsidRPr="008B1C54">
              <w:rPr>
                <w:rFonts w:ascii="Bembo Std" w:hAnsi="Bembo Std" w:cstheme="minorHAnsi"/>
                <w:b/>
              </w:rPr>
              <w:t xml:space="preserve">Year 1  </w:t>
            </w:r>
          </w:p>
        </w:tc>
        <w:tc>
          <w:tcPr>
            <w:tcW w:w="2160" w:type="dxa"/>
            <w:gridSpan w:val="4"/>
          </w:tcPr>
          <w:p w14:paraId="4006C8F2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  <w:b/>
              </w:rPr>
            </w:pPr>
            <w:r w:rsidRPr="008B1C54">
              <w:rPr>
                <w:rFonts w:ascii="Bembo Std" w:hAnsi="Bembo Std" w:cstheme="minorHAnsi"/>
                <w:b/>
              </w:rPr>
              <w:t>Year 2</w:t>
            </w:r>
          </w:p>
        </w:tc>
        <w:tc>
          <w:tcPr>
            <w:tcW w:w="2160" w:type="dxa"/>
            <w:gridSpan w:val="4"/>
          </w:tcPr>
          <w:p w14:paraId="5F57C35B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  <w:b/>
              </w:rPr>
            </w:pPr>
            <w:r w:rsidRPr="008B1C54">
              <w:rPr>
                <w:rFonts w:ascii="Bembo Std" w:hAnsi="Bembo Std" w:cstheme="minorHAnsi"/>
                <w:b/>
              </w:rPr>
              <w:t>Year 3</w:t>
            </w:r>
          </w:p>
        </w:tc>
      </w:tr>
      <w:tr w:rsidR="008B1C54" w:rsidRPr="00B66315" w14:paraId="4107FB1B" w14:textId="77777777" w:rsidTr="008B1C54">
        <w:trPr>
          <w:trHeight w:val="836"/>
        </w:trPr>
        <w:tc>
          <w:tcPr>
            <w:tcW w:w="2155" w:type="dxa"/>
            <w:vMerge/>
          </w:tcPr>
          <w:p w14:paraId="05F011E9" w14:textId="77777777" w:rsidR="006A084A" w:rsidRPr="008B1C54" w:rsidRDefault="006A084A" w:rsidP="008B1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Bembo Std" w:hAnsi="Bembo Std" w:cstheme="minorHAnsi"/>
                <w:b/>
              </w:rPr>
            </w:pPr>
          </w:p>
        </w:tc>
        <w:tc>
          <w:tcPr>
            <w:tcW w:w="1620" w:type="dxa"/>
            <w:vMerge/>
          </w:tcPr>
          <w:p w14:paraId="65EBD9E1" w14:textId="77777777" w:rsidR="006A084A" w:rsidRPr="008B1C54" w:rsidRDefault="006A084A" w:rsidP="008B1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Bembo Std" w:hAnsi="Bembo Std" w:cstheme="minorHAnsi"/>
                <w:b/>
              </w:rPr>
            </w:pPr>
          </w:p>
        </w:tc>
        <w:tc>
          <w:tcPr>
            <w:tcW w:w="540" w:type="dxa"/>
          </w:tcPr>
          <w:p w14:paraId="24127C75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  <w:b/>
              </w:rPr>
            </w:pPr>
            <w:r w:rsidRPr="008B1C54">
              <w:rPr>
                <w:rFonts w:ascii="Bembo Std" w:hAnsi="Bembo Std" w:cstheme="minorHAnsi"/>
                <w:b/>
              </w:rPr>
              <w:t>Q1</w:t>
            </w:r>
          </w:p>
        </w:tc>
        <w:tc>
          <w:tcPr>
            <w:tcW w:w="540" w:type="dxa"/>
          </w:tcPr>
          <w:p w14:paraId="743D67AC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  <w:b/>
              </w:rPr>
            </w:pPr>
            <w:r w:rsidRPr="008B1C54">
              <w:rPr>
                <w:rFonts w:ascii="Bembo Std" w:hAnsi="Bembo Std" w:cstheme="minorHAnsi"/>
                <w:b/>
              </w:rPr>
              <w:t>Q2</w:t>
            </w:r>
          </w:p>
        </w:tc>
        <w:tc>
          <w:tcPr>
            <w:tcW w:w="540" w:type="dxa"/>
          </w:tcPr>
          <w:p w14:paraId="72BF2326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  <w:b/>
              </w:rPr>
            </w:pPr>
            <w:r w:rsidRPr="008B1C54">
              <w:rPr>
                <w:rFonts w:ascii="Bembo Std" w:hAnsi="Bembo Std" w:cstheme="minorHAnsi"/>
                <w:b/>
              </w:rPr>
              <w:t>Q3</w:t>
            </w:r>
          </w:p>
        </w:tc>
        <w:tc>
          <w:tcPr>
            <w:tcW w:w="540" w:type="dxa"/>
          </w:tcPr>
          <w:p w14:paraId="29B457C6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  <w:b/>
              </w:rPr>
            </w:pPr>
            <w:r w:rsidRPr="008B1C54">
              <w:rPr>
                <w:rFonts w:ascii="Bembo Std" w:hAnsi="Bembo Std" w:cstheme="minorHAnsi"/>
                <w:b/>
              </w:rPr>
              <w:t>Q4</w:t>
            </w:r>
          </w:p>
        </w:tc>
        <w:tc>
          <w:tcPr>
            <w:tcW w:w="540" w:type="dxa"/>
          </w:tcPr>
          <w:p w14:paraId="06982139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  <w:b/>
              </w:rPr>
            </w:pPr>
            <w:r w:rsidRPr="008B1C54">
              <w:rPr>
                <w:rFonts w:ascii="Bembo Std" w:hAnsi="Bembo Std" w:cstheme="minorHAnsi"/>
                <w:b/>
              </w:rPr>
              <w:t>Q1</w:t>
            </w:r>
          </w:p>
        </w:tc>
        <w:tc>
          <w:tcPr>
            <w:tcW w:w="540" w:type="dxa"/>
          </w:tcPr>
          <w:p w14:paraId="153F3677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  <w:b/>
              </w:rPr>
            </w:pPr>
            <w:r w:rsidRPr="008B1C54">
              <w:rPr>
                <w:rFonts w:ascii="Bembo Std" w:hAnsi="Bembo Std" w:cstheme="minorHAnsi"/>
                <w:b/>
              </w:rPr>
              <w:t>Q2</w:t>
            </w:r>
          </w:p>
        </w:tc>
        <w:tc>
          <w:tcPr>
            <w:tcW w:w="540" w:type="dxa"/>
          </w:tcPr>
          <w:p w14:paraId="351933E5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  <w:b/>
              </w:rPr>
            </w:pPr>
            <w:r w:rsidRPr="008B1C54">
              <w:rPr>
                <w:rFonts w:ascii="Bembo Std" w:hAnsi="Bembo Std" w:cstheme="minorHAnsi"/>
                <w:b/>
              </w:rPr>
              <w:t>Q3</w:t>
            </w:r>
          </w:p>
        </w:tc>
        <w:tc>
          <w:tcPr>
            <w:tcW w:w="540" w:type="dxa"/>
          </w:tcPr>
          <w:p w14:paraId="22E8A8AB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  <w:b/>
              </w:rPr>
            </w:pPr>
            <w:r w:rsidRPr="008B1C54">
              <w:rPr>
                <w:rFonts w:ascii="Bembo Std" w:hAnsi="Bembo Std" w:cstheme="minorHAnsi"/>
                <w:b/>
              </w:rPr>
              <w:t>Q4</w:t>
            </w:r>
          </w:p>
        </w:tc>
        <w:tc>
          <w:tcPr>
            <w:tcW w:w="540" w:type="dxa"/>
          </w:tcPr>
          <w:p w14:paraId="529B5EBE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  <w:b/>
              </w:rPr>
            </w:pPr>
            <w:r w:rsidRPr="008B1C54">
              <w:rPr>
                <w:rFonts w:ascii="Bembo Std" w:hAnsi="Bembo Std" w:cstheme="minorHAnsi"/>
                <w:b/>
              </w:rPr>
              <w:t>Q1</w:t>
            </w:r>
          </w:p>
        </w:tc>
        <w:tc>
          <w:tcPr>
            <w:tcW w:w="540" w:type="dxa"/>
          </w:tcPr>
          <w:p w14:paraId="2D8E88D3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  <w:b/>
              </w:rPr>
            </w:pPr>
            <w:r w:rsidRPr="008B1C54">
              <w:rPr>
                <w:rFonts w:ascii="Bembo Std" w:hAnsi="Bembo Std" w:cstheme="minorHAnsi"/>
                <w:b/>
              </w:rPr>
              <w:t>Q2</w:t>
            </w:r>
          </w:p>
        </w:tc>
        <w:tc>
          <w:tcPr>
            <w:tcW w:w="540" w:type="dxa"/>
          </w:tcPr>
          <w:p w14:paraId="5023CC69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  <w:b/>
              </w:rPr>
            </w:pPr>
            <w:r w:rsidRPr="008B1C54">
              <w:rPr>
                <w:rFonts w:ascii="Bembo Std" w:hAnsi="Bembo Std" w:cstheme="minorHAnsi"/>
                <w:b/>
              </w:rPr>
              <w:t>Q3</w:t>
            </w:r>
          </w:p>
        </w:tc>
        <w:tc>
          <w:tcPr>
            <w:tcW w:w="540" w:type="dxa"/>
          </w:tcPr>
          <w:p w14:paraId="0865B61C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  <w:b/>
              </w:rPr>
            </w:pPr>
            <w:r w:rsidRPr="008B1C54">
              <w:rPr>
                <w:rFonts w:ascii="Bembo Std" w:hAnsi="Bembo Std" w:cstheme="minorHAnsi"/>
                <w:b/>
              </w:rPr>
              <w:t>Q4</w:t>
            </w:r>
          </w:p>
        </w:tc>
      </w:tr>
      <w:tr w:rsidR="008B1C54" w:rsidRPr="00B66315" w14:paraId="1F722264" w14:textId="77777777" w:rsidTr="008B1C54">
        <w:tc>
          <w:tcPr>
            <w:tcW w:w="2155" w:type="dxa"/>
          </w:tcPr>
          <w:p w14:paraId="6A3917B8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B4FD0AD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00546BA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5772B28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7BF7259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692B1D9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4BDB2CB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C80CADF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3F39E89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415B93A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06F962C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3E10759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AE3DAB7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24A8236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</w:tr>
      <w:tr w:rsidR="008B1C54" w:rsidRPr="00B66315" w14:paraId="3593C4F5" w14:textId="77777777" w:rsidTr="008B1C54">
        <w:tc>
          <w:tcPr>
            <w:tcW w:w="2155" w:type="dxa"/>
          </w:tcPr>
          <w:p w14:paraId="789E28D2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690FFF7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3B89459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B201092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8287CA4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44283FC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6CE1D4F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C473378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28E5F47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AEA1B16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21DCADF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BFCA979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6FE6658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8A8FA35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</w:tr>
      <w:tr w:rsidR="008B1C54" w:rsidRPr="00B66315" w14:paraId="1D43363C" w14:textId="77777777" w:rsidTr="008B1C54">
        <w:tc>
          <w:tcPr>
            <w:tcW w:w="2155" w:type="dxa"/>
          </w:tcPr>
          <w:p w14:paraId="00F7AE98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8F1AA8D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A28B8F2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74BD30F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2ECDAAA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38D7B1B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5B8A25D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7397E50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3AF8334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F4927F2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48E68BF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6554EB6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1B98876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5B509BB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</w:tr>
      <w:tr w:rsidR="008B1C54" w:rsidRPr="00B66315" w14:paraId="1C90C5C1" w14:textId="77777777" w:rsidTr="008B1C54">
        <w:tc>
          <w:tcPr>
            <w:tcW w:w="2155" w:type="dxa"/>
          </w:tcPr>
          <w:p w14:paraId="36845378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D82FADD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4DEA2B6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C150353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D2D4D82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E036391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30FAEE1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BB4DBA8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45BA7C8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B405EED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F867794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4A61533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288145A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9819DD5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</w:tr>
      <w:tr w:rsidR="008B1C54" w:rsidRPr="00B66315" w14:paraId="51DD5FC6" w14:textId="77777777" w:rsidTr="008B1C54">
        <w:tc>
          <w:tcPr>
            <w:tcW w:w="2155" w:type="dxa"/>
          </w:tcPr>
          <w:p w14:paraId="78FF3AA0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2791132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9959BC8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B8621CB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3CB564B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ABA444C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6DB1BA2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EBFF1CA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4ABA75B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84000CA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A6AF7BB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4AEC389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F90293F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88B44DB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</w:tr>
      <w:tr w:rsidR="008B1C54" w:rsidRPr="00B66315" w14:paraId="4D81FD14" w14:textId="77777777" w:rsidTr="008B1C54">
        <w:tc>
          <w:tcPr>
            <w:tcW w:w="2155" w:type="dxa"/>
          </w:tcPr>
          <w:p w14:paraId="34AFFD15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E8CD369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B97599B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8556FD1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0AF7CF7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759F9FB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1D7DB63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1085090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70777DC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48DFAB4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5D7A5AE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CFBD955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4CD528B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3E46EF8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</w:tr>
      <w:tr w:rsidR="008B1C54" w:rsidRPr="00B66315" w14:paraId="51F614C6" w14:textId="77777777" w:rsidTr="008B1C54">
        <w:tc>
          <w:tcPr>
            <w:tcW w:w="2155" w:type="dxa"/>
          </w:tcPr>
          <w:p w14:paraId="0ED6D211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2459BEF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37BFDC9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6C3D951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274D557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7292712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0CCCDC8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BFF663F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0024AA5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2F6418D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C3DC578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8CD6EFA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C273355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6E8F46F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</w:tr>
      <w:tr w:rsidR="008B1C54" w:rsidRPr="00B66315" w14:paraId="789B185B" w14:textId="77777777" w:rsidTr="008B1C54">
        <w:tc>
          <w:tcPr>
            <w:tcW w:w="2155" w:type="dxa"/>
          </w:tcPr>
          <w:p w14:paraId="6887D096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D59F078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E6B0D9A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BF596E7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7AADA1D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07E34DF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4BF1A8A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269FD91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73190EB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3918147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0196EF0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AC1C7A0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714282E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B564B7F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</w:tr>
      <w:tr w:rsidR="008B1C54" w:rsidRPr="00B66315" w14:paraId="49B0F634" w14:textId="77777777" w:rsidTr="008B1C54">
        <w:tc>
          <w:tcPr>
            <w:tcW w:w="2155" w:type="dxa"/>
          </w:tcPr>
          <w:p w14:paraId="7102575D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1DE71D1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DC1091C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1875B22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0BFD74E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AB3AEC5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A447BED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053346D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30F00DC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1A0A16E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A5DEAEE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00A8181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E1711EB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6175F55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</w:tr>
      <w:tr w:rsidR="008B1C54" w:rsidRPr="00B66315" w14:paraId="75B7CF0F" w14:textId="77777777" w:rsidTr="008B1C54">
        <w:tc>
          <w:tcPr>
            <w:tcW w:w="2155" w:type="dxa"/>
          </w:tcPr>
          <w:p w14:paraId="24E1F6D1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BC6862C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A15FC15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8749104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AEC02B2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B304200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560E3F2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115B4F9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8CC8A2D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9DDB264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911A28E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49627EF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F86C985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0EE0161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</w:tr>
      <w:tr w:rsidR="008B1C54" w:rsidRPr="00B66315" w14:paraId="6169706A" w14:textId="77777777" w:rsidTr="008B1C54">
        <w:tc>
          <w:tcPr>
            <w:tcW w:w="2155" w:type="dxa"/>
          </w:tcPr>
          <w:p w14:paraId="278F7726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5DABAA8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3378E4D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55B26EB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4F0E476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879233D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A49A09E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5A3B5DA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484279C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CF08D73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36F3F56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DDD6F74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3098B3C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02F4B52" w14:textId="77777777" w:rsidR="006A084A" w:rsidRPr="008B1C54" w:rsidRDefault="006A084A" w:rsidP="008B1C54">
            <w:pPr>
              <w:spacing w:after="0" w:line="480" w:lineRule="auto"/>
              <w:rPr>
                <w:rFonts w:ascii="Bembo Std" w:hAnsi="Bembo Std" w:cstheme="minorHAnsi"/>
              </w:rPr>
            </w:pPr>
          </w:p>
        </w:tc>
      </w:tr>
    </w:tbl>
    <w:p w14:paraId="5CE31710" w14:textId="77777777" w:rsidR="00261EF8" w:rsidRDefault="00261EF8" w:rsidP="00261EF8">
      <w:pPr>
        <w:spacing w:after="0" w:line="240" w:lineRule="auto"/>
        <w:rPr>
          <w:rFonts w:ascii="Bembo Std" w:hAnsi="Bembo Std" w:cstheme="minorHAnsi"/>
          <w:iCs/>
          <w:color w:val="808080" w:themeColor="background1" w:themeShade="80"/>
          <w:sz w:val="20"/>
          <w:szCs w:val="20"/>
        </w:rPr>
      </w:pPr>
    </w:p>
    <w:p w14:paraId="71D35007" w14:textId="77777777" w:rsidR="00261EF8" w:rsidRDefault="00261EF8" w:rsidP="00261EF8">
      <w:pPr>
        <w:spacing w:after="0" w:line="240" w:lineRule="auto"/>
        <w:rPr>
          <w:rFonts w:ascii="Bembo Std" w:hAnsi="Bembo Std" w:cstheme="minorHAnsi"/>
          <w:iCs/>
          <w:color w:val="808080" w:themeColor="background1" w:themeShade="80"/>
          <w:sz w:val="20"/>
          <w:szCs w:val="20"/>
        </w:rPr>
      </w:pPr>
    </w:p>
    <w:p w14:paraId="1461F005" w14:textId="77777777" w:rsidR="00261EF8" w:rsidRDefault="00261EF8" w:rsidP="00261EF8">
      <w:pPr>
        <w:spacing w:after="0" w:line="240" w:lineRule="auto"/>
        <w:rPr>
          <w:rFonts w:ascii="Bembo Std" w:hAnsi="Bembo Std" w:cstheme="minorHAnsi"/>
          <w:iCs/>
          <w:color w:val="808080" w:themeColor="background1" w:themeShade="80"/>
          <w:sz w:val="20"/>
          <w:szCs w:val="20"/>
        </w:rPr>
      </w:pPr>
    </w:p>
    <w:p w14:paraId="4C4AAF9E" w14:textId="77777777" w:rsidR="00261EF8" w:rsidRDefault="00261EF8" w:rsidP="00261EF8">
      <w:pPr>
        <w:spacing w:after="0" w:line="240" w:lineRule="auto"/>
        <w:rPr>
          <w:rFonts w:ascii="Bembo Std" w:hAnsi="Bembo Std" w:cstheme="minorHAnsi"/>
          <w:iCs/>
          <w:color w:val="808080" w:themeColor="background1" w:themeShade="80"/>
          <w:sz w:val="20"/>
          <w:szCs w:val="20"/>
        </w:rPr>
      </w:pPr>
    </w:p>
    <w:p w14:paraId="7E7D84DB" w14:textId="77777777" w:rsidR="00261EF8" w:rsidRDefault="00261EF8" w:rsidP="00261EF8">
      <w:pPr>
        <w:spacing w:after="0" w:line="240" w:lineRule="auto"/>
        <w:rPr>
          <w:rFonts w:ascii="Bembo Std" w:hAnsi="Bembo Std" w:cstheme="minorHAnsi"/>
          <w:iCs/>
          <w:color w:val="808080" w:themeColor="background1" w:themeShade="80"/>
          <w:sz w:val="20"/>
          <w:szCs w:val="20"/>
        </w:rPr>
      </w:pPr>
    </w:p>
    <w:p w14:paraId="3C0F9B75" w14:textId="77777777" w:rsidR="00261EF8" w:rsidRDefault="00261EF8" w:rsidP="00261EF8">
      <w:pPr>
        <w:spacing w:after="0" w:line="240" w:lineRule="auto"/>
        <w:rPr>
          <w:rFonts w:ascii="Bembo Std" w:hAnsi="Bembo Std" w:cstheme="minorHAnsi"/>
          <w:iCs/>
          <w:color w:val="808080" w:themeColor="background1" w:themeShade="80"/>
          <w:sz w:val="20"/>
          <w:szCs w:val="20"/>
        </w:rPr>
      </w:pPr>
    </w:p>
    <w:p w14:paraId="479F0E53" w14:textId="77777777" w:rsidR="00261EF8" w:rsidRDefault="00261EF8" w:rsidP="00261EF8">
      <w:pPr>
        <w:spacing w:after="0" w:line="240" w:lineRule="auto"/>
        <w:rPr>
          <w:rFonts w:ascii="Bembo Std" w:hAnsi="Bembo Std" w:cstheme="minorHAnsi"/>
          <w:iCs/>
          <w:color w:val="808080" w:themeColor="background1" w:themeShade="80"/>
          <w:sz w:val="20"/>
          <w:szCs w:val="20"/>
        </w:rPr>
      </w:pPr>
    </w:p>
    <w:p w14:paraId="334D7C2C" w14:textId="77777777" w:rsidR="00261EF8" w:rsidRDefault="00261EF8" w:rsidP="00261EF8">
      <w:pPr>
        <w:spacing w:after="0" w:line="240" w:lineRule="auto"/>
        <w:rPr>
          <w:rFonts w:ascii="Bembo Std" w:hAnsi="Bembo Std" w:cstheme="minorHAnsi"/>
          <w:iCs/>
          <w:color w:val="808080" w:themeColor="background1" w:themeShade="80"/>
          <w:sz w:val="20"/>
          <w:szCs w:val="20"/>
        </w:rPr>
      </w:pPr>
    </w:p>
    <w:p w14:paraId="50236A57" w14:textId="77777777" w:rsidR="00261EF8" w:rsidRDefault="00261EF8" w:rsidP="00261EF8">
      <w:pPr>
        <w:spacing w:after="0" w:line="240" w:lineRule="auto"/>
        <w:rPr>
          <w:rFonts w:ascii="Bembo Std" w:hAnsi="Bembo Std" w:cstheme="minorHAnsi"/>
          <w:iCs/>
          <w:color w:val="808080" w:themeColor="background1" w:themeShade="80"/>
          <w:sz w:val="20"/>
          <w:szCs w:val="20"/>
        </w:rPr>
      </w:pPr>
    </w:p>
    <w:p w14:paraId="708FCBDF" w14:textId="77777777" w:rsidR="00261EF8" w:rsidRDefault="00261EF8" w:rsidP="00261EF8">
      <w:pPr>
        <w:spacing w:after="0" w:line="240" w:lineRule="auto"/>
        <w:rPr>
          <w:rFonts w:ascii="Bembo Std" w:hAnsi="Bembo Std" w:cstheme="minorHAnsi"/>
          <w:iCs/>
          <w:color w:val="808080" w:themeColor="background1" w:themeShade="80"/>
          <w:sz w:val="20"/>
          <w:szCs w:val="20"/>
        </w:rPr>
      </w:pPr>
    </w:p>
    <w:p w14:paraId="5A4C37BF" w14:textId="77777777" w:rsidR="00261EF8" w:rsidRDefault="00261EF8" w:rsidP="00261EF8">
      <w:pPr>
        <w:spacing w:after="0" w:line="240" w:lineRule="auto"/>
        <w:rPr>
          <w:rFonts w:ascii="Bembo Std" w:hAnsi="Bembo Std" w:cstheme="minorHAnsi"/>
          <w:iCs/>
          <w:color w:val="808080" w:themeColor="background1" w:themeShade="80"/>
          <w:sz w:val="20"/>
          <w:szCs w:val="20"/>
        </w:rPr>
      </w:pPr>
    </w:p>
    <w:p w14:paraId="58E154F3" w14:textId="77777777" w:rsidR="00261EF8" w:rsidRDefault="00261EF8" w:rsidP="00261EF8">
      <w:pPr>
        <w:spacing w:after="0" w:line="240" w:lineRule="auto"/>
        <w:rPr>
          <w:rFonts w:ascii="Bembo Std" w:hAnsi="Bembo Std" w:cstheme="minorHAnsi"/>
          <w:iCs/>
          <w:color w:val="808080" w:themeColor="background1" w:themeShade="80"/>
          <w:sz w:val="20"/>
          <w:szCs w:val="20"/>
        </w:rPr>
      </w:pPr>
    </w:p>
    <w:p w14:paraId="1F9E6ECD" w14:textId="77777777" w:rsidR="00261EF8" w:rsidRDefault="00261EF8" w:rsidP="00261EF8">
      <w:pPr>
        <w:spacing w:after="0" w:line="240" w:lineRule="auto"/>
        <w:rPr>
          <w:rFonts w:ascii="Bembo Std" w:hAnsi="Bembo Std" w:cstheme="minorHAnsi"/>
          <w:iCs/>
          <w:color w:val="808080" w:themeColor="background1" w:themeShade="80"/>
          <w:sz w:val="20"/>
          <w:szCs w:val="20"/>
        </w:rPr>
      </w:pPr>
    </w:p>
    <w:p w14:paraId="4A1FC5AE" w14:textId="77777777" w:rsidR="00261EF8" w:rsidRDefault="00261EF8" w:rsidP="00261EF8">
      <w:pPr>
        <w:spacing w:after="0" w:line="240" w:lineRule="auto"/>
        <w:rPr>
          <w:rFonts w:ascii="Bembo Std" w:hAnsi="Bembo Std" w:cstheme="minorHAnsi"/>
          <w:iCs/>
          <w:color w:val="808080" w:themeColor="background1" w:themeShade="80"/>
          <w:sz w:val="20"/>
          <w:szCs w:val="20"/>
        </w:rPr>
      </w:pPr>
    </w:p>
    <w:p w14:paraId="61A9AB8F" w14:textId="77777777" w:rsidR="00261EF8" w:rsidRDefault="00261EF8" w:rsidP="00261EF8">
      <w:pPr>
        <w:spacing w:after="0" w:line="240" w:lineRule="auto"/>
        <w:rPr>
          <w:rFonts w:ascii="Bembo Std" w:hAnsi="Bembo Std" w:cstheme="minorHAnsi"/>
          <w:iCs/>
          <w:color w:val="808080" w:themeColor="background1" w:themeShade="80"/>
          <w:sz w:val="20"/>
          <w:szCs w:val="20"/>
        </w:rPr>
      </w:pPr>
    </w:p>
    <w:p w14:paraId="135D0808" w14:textId="77777777" w:rsidR="00261EF8" w:rsidRDefault="00261EF8" w:rsidP="00261EF8">
      <w:pPr>
        <w:spacing w:after="0" w:line="240" w:lineRule="auto"/>
        <w:rPr>
          <w:rFonts w:ascii="Bembo Std" w:hAnsi="Bembo Std" w:cstheme="minorHAnsi"/>
          <w:iCs/>
          <w:color w:val="808080" w:themeColor="background1" w:themeShade="80"/>
          <w:sz w:val="20"/>
          <w:szCs w:val="20"/>
        </w:rPr>
      </w:pPr>
    </w:p>
    <w:p w14:paraId="5CE2D8E1" w14:textId="77777777" w:rsidR="00261EF8" w:rsidRDefault="00261EF8" w:rsidP="00261EF8">
      <w:pPr>
        <w:spacing w:after="0" w:line="240" w:lineRule="auto"/>
        <w:rPr>
          <w:rFonts w:ascii="Bembo Std" w:hAnsi="Bembo Std" w:cstheme="minorHAnsi"/>
          <w:iCs/>
          <w:color w:val="808080" w:themeColor="background1" w:themeShade="80"/>
          <w:sz w:val="20"/>
          <w:szCs w:val="20"/>
        </w:rPr>
      </w:pPr>
    </w:p>
    <w:p w14:paraId="78715308" w14:textId="77777777" w:rsidR="00261EF8" w:rsidRDefault="00261EF8" w:rsidP="00261EF8">
      <w:pPr>
        <w:spacing w:after="0" w:line="240" w:lineRule="auto"/>
        <w:rPr>
          <w:rFonts w:ascii="Bembo Std" w:hAnsi="Bembo Std" w:cstheme="minorHAnsi"/>
          <w:iCs/>
          <w:color w:val="808080" w:themeColor="background1" w:themeShade="80"/>
          <w:sz w:val="20"/>
          <w:szCs w:val="20"/>
        </w:rPr>
      </w:pPr>
    </w:p>
    <w:sectPr w:rsidR="00261EF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30053" w14:textId="77777777" w:rsidR="00B52A87" w:rsidRDefault="00B52A87" w:rsidP="00A55C92">
      <w:pPr>
        <w:spacing w:after="0" w:line="240" w:lineRule="auto"/>
      </w:pPr>
      <w:r>
        <w:separator/>
      </w:r>
    </w:p>
  </w:endnote>
  <w:endnote w:type="continuationSeparator" w:id="0">
    <w:p w14:paraId="3A5BFC28" w14:textId="77777777" w:rsidR="00B52A87" w:rsidRDefault="00B52A87" w:rsidP="00A55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500000000000000"/>
    <w:charset w:val="4D"/>
    <w:family w:val="auto"/>
    <w:notTrueType/>
    <w:pitch w:val="variable"/>
    <w:sig w:usb0="20000007" w:usb1="00000001" w:usb2="00000000" w:usb3="00000000" w:csb0="00000193" w:csb1="00000000"/>
  </w:font>
  <w:font w:name="Bembo Std">
    <w:altName w:val="Cambria"/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ABBCA" w14:textId="0AA12A23" w:rsidR="00A55C92" w:rsidRPr="00A55C92" w:rsidRDefault="00A55C92" w:rsidP="00A55C92">
    <w:pPr>
      <w:spacing w:after="0" w:line="240" w:lineRule="auto"/>
      <w:rPr>
        <w:rFonts w:ascii="Bembo Std" w:hAnsi="Bembo Std" w:cstheme="minorHAnsi"/>
        <w:color w:val="808080" w:themeColor="background1" w:themeShade="80"/>
        <w:sz w:val="20"/>
        <w:szCs w:val="20"/>
      </w:rPr>
    </w:pPr>
    <w:r w:rsidRPr="00D97427">
      <w:rPr>
        <w:rFonts w:ascii="Bembo Std" w:hAnsi="Bembo Std" w:cstheme="minorHAnsi"/>
        <w:iCs/>
        <w:color w:val="808080" w:themeColor="background1" w:themeShade="80"/>
        <w:sz w:val="20"/>
        <w:szCs w:val="20"/>
      </w:rPr>
      <w:t>From</w:t>
    </w:r>
    <w:r>
      <w:rPr>
        <w:rFonts w:ascii="Bembo Std" w:hAnsi="Bembo Std" w:cstheme="minorHAnsi"/>
        <w:iCs/>
        <w:color w:val="808080" w:themeColor="background1" w:themeShade="80"/>
        <w:sz w:val="20"/>
        <w:szCs w:val="20"/>
      </w:rPr>
      <w:t xml:space="preserve"> </w:t>
    </w:r>
    <w:r w:rsidRPr="00D97427">
      <w:rPr>
        <w:rFonts w:ascii="Bembo Std" w:hAnsi="Bembo Std"/>
        <w:i/>
        <w:iCs/>
        <w:color w:val="808080" w:themeColor="background1" w:themeShade="80"/>
        <w:sz w:val="20"/>
        <w:szCs w:val="20"/>
      </w:rPr>
      <w:t xml:space="preserve">Writing </w:t>
    </w:r>
    <w:r>
      <w:rPr>
        <w:rFonts w:ascii="Bembo Std" w:hAnsi="Bembo Std"/>
        <w:i/>
        <w:iCs/>
        <w:color w:val="808080" w:themeColor="background1" w:themeShade="80"/>
        <w:sz w:val="20"/>
        <w:szCs w:val="20"/>
      </w:rPr>
      <w:t>a</w:t>
    </w:r>
    <w:r w:rsidRPr="00D97427">
      <w:rPr>
        <w:rFonts w:ascii="Bembo Std" w:hAnsi="Bembo Std"/>
        <w:i/>
        <w:iCs/>
        <w:color w:val="808080" w:themeColor="background1" w:themeShade="80"/>
        <w:sz w:val="20"/>
        <w:szCs w:val="20"/>
      </w:rPr>
      <w:t xml:space="preserve">bout Learning and Teaching in Higher Education: Creating and Contributing to Scholarly Conversations </w:t>
    </w:r>
    <w:r>
      <w:rPr>
        <w:rFonts w:ascii="Bembo Std" w:hAnsi="Bembo Std"/>
        <w:i/>
        <w:iCs/>
        <w:color w:val="808080" w:themeColor="background1" w:themeShade="80"/>
        <w:sz w:val="20"/>
        <w:szCs w:val="20"/>
      </w:rPr>
      <w:t>a</w:t>
    </w:r>
    <w:r w:rsidRPr="00D97427">
      <w:rPr>
        <w:rFonts w:ascii="Bembo Std" w:hAnsi="Bembo Std"/>
        <w:i/>
        <w:iCs/>
        <w:color w:val="808080" w:themeColor="background1" w:themeShade="80"/>
        <w:sz w:val="20"/>
        <w:szCs w:val="20"/>
      </w:rPr>
      <w:t>cross a Ra</w:t>
    </w:r>
    <w:r>
      <w:rPr>
        <w:rFonts w:ascii="Bembo Std" w:hAnsi="Bembo Std"/>
        <w:i/>
        <w:iCs/>
        <w:color w:val="808080" w:themeColor="background1" w:themeShade="80"/>
        <w:sz w:val="20"/>
        <w:szCs w:val="20"/>
      </w:rPr>
      <w:t>n</w:t>
    </w:r>
    <w:r w:rsidRPr="00D97427">
      <w:rPr>
        <w:rFonts w:ascii="Bembo Std" w:hAnsi="Bembo Std"/>
        <w:i/>
        <w:iCs/>
        <w:color w:val="808080" w:themeColor="background1" w:themeShade="80"/>
        <w:sz w:val="20"/>
        <w:szCs w:val="20"/>
      </w:rPr>
      <w:t>ge of Genres</w:t>
    </w:r>
    <w:r w:rsidRPr="00D97427">
      <w:rPr>
        <w:rFonts w:ascii="Bembo Std" w:hAnsi="Bembo Std"/>
        <w:color w:val="808080" w:themeColor="background1" w:themeShade="80"/>
        <w:sz w:val="20"/>
        <w:szCs w:val="20"/>
      </w:rPr>
      <w:t xml:space="preserve"> by Healey, Matthews, and Cook-Sather. Elon University Center for Engaged Learning, 20</w:t>
    </w:r>
    <w:r>
      <w:rPr>
        <w:rFonts w:ascii="Bembo Std" w:hAnsi="Bembo Std"/>
        <w:color w:val="808080" w:themeColor="background1" w:themeShade="80"/>
        <w:sz w:val="20"/>
        <w:szCs w:val="20"/>
      </w:rPr>
      <w:t>20</w:t>
    </w:r>
    <w:r w:rsidRPr="00D97427">
      <w:rPr>
        <w:rFonts w:ascii="Bembo Std" w:hAnsi="Bembo Std"/>
        <w:color w:val="808080" w:themeColor="background1" w:themeShade="80"/>
        <w:sz w:val="20"/>
        <w:szCs w:val="20"/>
      </w:rPr>
      <w:t>.</w:t>
    </w:r>
    <w:r>
      <w:rPr>
        <w:rFonts w:ascii="Bembo Std" w:hAnsi="Bembo Std"/>
        <w:color w:val="808080" w:themeColor="background1" w:themeShade="80"/>
        <w:sz w:val="20"/>
        <w:szCs w:val="20"/>
      </w:rPr>
      <w:t xml:space="preserve"> </w:t>
    </w:r>
    <w:hyperlink r:id="rId1" w:history="1">
      <w:r w:rsidRPr="00A55C92">
        <w:rPr>
          <w:rStyle w:val="Hyperlink"/>
          <w:rFonts w:ascii="Bembo Std" w:hAnsi="Bembo Std"/>
          <w:sz w:val="20"/>
          <w:szCs w:val="20"/>
        </w:rPr>
        <w:t>https://doi.org/10.36284/celelon.oa3</w:t>
      </w:r>
    </w:hyperlink>
    <w:r>
      <w:rPr>
        <w:rFonts w:ascii="Bembo Std" w:hAnsi="Bembo Std"/>
        <w:color w:val="808080" w:themeColor="background1" w:themeShade="80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AE4274" w14:textId="77777777" w:rsidR="00B52A87" w:rsidRDefault="00B52A87" w:rsidP="00A55C92">
      <w:pPr>
        <w:spacing w:after="0" w:line="240" w:lineRule="auto"/>
      </w:pPr>
      <w:r>
        <w:separator/>
      </w:r>
    </w:p>
  </w:footnote>
  <w:footnote w:type="continuationSeparator" w:id="0">
    <w:p w14:paraId="32309C33" w14:textId="77777777" w:rsidR="00B52A87" w:rsidRDefault="00B52A87" w:rsidP="00A55C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84A"/>
    <w:rsid w:val="00261EF8"/>
    <w:rsid w:val="006A084A"/>
    <w:rsid w:val="008478D6"/>
    <w:rsid w:val="008B1C54"/>
    <w:rsid w:val="00A55C92"/>
    <w:rsid w:val="00B30792"/>
    <w:rsid w:val="00B5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2386B"/>
  <w15:chartTrackingRefBased/>
  <w15:docId w15:val="{C6968D00-8E3E-464C-8AEC-DB3A2431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84A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A08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08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084A"/>
    <w:rPr>
      <w:rFonts w:eastAsiaTheme="minorEastAsia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84A"/>
    <w:rPr>
      <w:rFonts w:ascii="Segoe UI" w:eastAsiaTheme="minorEastAsia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261EF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5C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55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C92"/>
    <w:rPr>
      <w:rFonts w:eastAsiaTheme="minorEastAsia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55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C92"/>
    <w:rPr>
      <w:rFonts w:eastAsiaTheme="minorEastAsi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36284/celelon.oa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Dolan Foster</dc:creator>
  <cp:keywords/>
  <dc:description/>
  <cp:lastModifiedBy>Jennie Goforth</cp:lastModifiedBy>
  <cp:revision>2</cp:revision>
  <dcterms:created xsi:type="dcterms:W3CDTF">2020-06-02T19:27:00Z</dcterms:created>
  <dcterms:modified xsi:type="dcterms:W3CDTF">2020-06-02T19:27:00Z</dcterms:modified>
</cp:coreProperties>
</file>