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41BF" w14:textId="02F3E0A1" w:rsidR="00481F1B" w:rsidRDefault="007A2506">
      <w:pPr>
        <w:rPr>
          <w:b/>
          <w:bCs/>
          <w:sz w:val="28"/>
          <w:szCs w:val="28"/>
        </w:rPr>
      </w:pPr>
      <w:r w:rsidRPr="00E87B99">
        <w:rPr>
          <w:b/>
          <w:bCs/>
          <w:sz w:val="28"/>
          <w:szCs w:val="28"/>
        </w:rPr>
        <w:t>Curriculum Mapping</w:t>
      </w:r>
      <w:r>
        <w:rPr>
          <w:b/>
          <w:bCs/>
          <w:sz w:val="28"/>
          <w:szCs w:val="28"/>
        </w:rPr>
        <w:t xml:space="preserve"> to Identify and Scaffold Potential Connections to Broader Contexts</w:t>
      </w:r>
    </w:p>
    <w:p w14:paraId="2F5C03ED" w14:textId="77777777" w:rsidR="007A2506" w:rsidRDefault="007A2506">
      <w:pPr>
        <w:rPr>
          <w:b/>
          <w:bCs/>
          <w:sz w:val="28"/>
          <w:szCs w:val="28"/>
        </w:rPr>
      </w:pPr>
    </w:p>
    <w:p w14:paraId="010F0F01" w14:textId="39BF5A54" w:rsidR="007A2506" w:rsidRDefault="007A25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Step 1: Brainstorming</w:t>
      </w:r>
    </w:p>
    <w:p w14:paraId="7E54EB80" w14:textId="77777777" w:rsidR="000644C9" w:rsidRDefault="000644C9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8725"/>
      </w:tblGrid>
      <w:tr w:rsidR="0039168E" w14:paraId="4FFE4E29" w14:textId="77777777" w:rsidTr="0039168E">
        <w:tc>
          <w:tcPr>
            <w:tcW w:w="4225" w:type="dxa"/>
          </w:tcPr>
          <w:p w14:paraId="0D546CB8" w14:textId="77777777" w:rsidR="0039168E" w:rsidRDefault="0039168E"/>
        </w:tc>
        <w:tc>
          <w:tcPr>
            <w:tcW w:w="8725" w:type="dxa"/>
          </w:tcPr>
          <w:p w14:paraId="7ADB7401" w14:textId="196B3D4A" w:rsidR="0039168E" w:rsidRDefault="004D30C8">
            <w:r>
              <w:t>How might you integrate this type of connection into courses you teach?</w:t>
            </w:r>
          </w:p>
        </w:tc>
      </w:tr>
      <w:tr w:rsidR="0039168E" w14:paraId="5E7E6C0E" w14:textId="77777777" w:rsidTr="004D30C8">
        <w:trPr>
          <w:trHeight w:val="1070"/>
        </w:trPr>
        <w:tc>
          <w:tcPr>
            <w:tcW w:w="4225" w:type="dxa"/>
          </w:tcPr>
          <w:p w14:paraId="6A096836" w14:textId="0FEE82B8" w:rsidR="0039168E" w:rsidRDefault="0039168E">
            <w:r>
              <w:t>Course topics</w:t>
            </w:r>
          </w:p>
        </w:tc>
        <w:tc>
          <w:tcPr>
            <w:tcW w:w="8725" w:type="dxa"/>
          </w:tcPr>
          <w:p w14:paraId="05EFE059" w14:textId="77777777" w:rsidR="0039168E" w:rsidRDefault="0039168E"/>
        </w:tc>
      </w:tr>
      <w:tr w:rsidR="0039168E" w14:paraId="3DDD6ABA" w14:textId="77777777" w:rsidTr="004D30C8">
        <w:trPr>
          <w:trHeight w:val="1070"/>
        </w:trPr>
        <w:tc>
          <w:tcPr>
            <w:tcW w:w="4225" w:type="dxa"/>
          </w:tcPr>
          <w:p w14:paraId="330437FE" w14:textId="62C23FB7" w:rsidR="0039168E" w:rsidRDefault="0039168E">
            <w:r>
              <w:t>Course-based undergraduate research</w:t>
            </w:r>
          </w:p>
        </w:tc>
        <w:tc>
          <w:tcPr>
            <w:tcW w:w="8725" w:type="dxa"/>
          </w:tcPr>
          <w:p w14:paraId="43E4DC1F" w14:textId="77777777" w:rsidR="0039168E" w:rsidRDefault="0039168E"/>
        </w:tc>
      </w:tr>
      <w:tr w:rsidR="0039168E" w14:paraId="751D1217" w14:textId="77777777" w:rsidTr="004D30C8">
        <w:trPr>
          <w:trHeight w:val="1070"/>
        </w:trPr>
        <w:tc>
          <w:tcPr>
            <w:tcW w:w="4225" w:type="dxa"/>
          </w:tcPr>
          <w:p w14:paraId="725436C3" w14:textId="7D31BA06" w:rsidR="0039168E" w:rsidRDefault="0089650F">
            <w:r>
              <w:t>Case-based projects</w:t>
            </w:r>
          </w:p>
        </w:tc>
        <w:tc>
          <w:tcPr>
            <w:tcW w:w="8725" w:type="dxa"/>
          </w:tcPr>
          <w:p w14:paraId="23C5C4D6" w14:textId="77777777" w:rsidR="0039168E" w:rsidRDefault="0039168E"/>
        </w:tc>
      </w:tr>
      <w:tr w:rsidR="0039168E" w14:paraId="12979CD5" w14:textId="77777777" w:rsidTr="004D30C8">
        <w:trPr>
          <w:trHeight w:val="1070"/>
        </w:trPr>
        <w:tc>
          <w:tcPr>
            <w:tcW w:w="4225" w:type="dxa"/>
          </w:tcPr>
          <w:p w14:paraId="774C0014" w14:textId="4EA49C66" w:rsidR="0039168E" w:rsidRDefault="0089650F">
            <w:r>
              <w:t>Client-based projects</w:t>
            </w:r>
          </w:p>
        </w:tc>
        <w:tc>
          <w:tcPr>
            <w:tcW w:w="8725" w:type="dxa"/>
          </w:tcPr>
          <w:p w14:paraId="39ABE5B1" w14:textId="77777777" w:rsidR="0039168E" w:rsidRDefault="0039168E"/>
        </w:tc>
      </w:tr>
      <w:tr w:rsidR="0089650F" w14:paraId="0AD8E87F" w14:textId="77777777" w:rsidTr="004D30C8">
        <w:trPr>
          <w:trHeight w:val="1070"/>
        </w:trPr>
        <w:tc>
          <w:tcPr>
            <w:tcW w:w="4225" w:type="dxa"/>
          </w:tcPr>
          <w:p w14:paraId="66AC8663" w14:textId="05ACBEB1" w:rsidR="0089650F" w:rsidRDefault="0089650F">
            <w:r>
              <w:t xml:space="preserve">Service-learning / </w:t>
            </w:r>
            <w:r w:rsidR="004D30C8">
              <w:br/>
            </w:r>
            <w:r>
              <w:t>Community-engaged learning partnerships</w:t>
            </w:r>
          </w:p>
        </w:tc>
        <w:tc>
          <w:tcPr>
            <w:tcW w:w="8725" w:type="dxa"/>
          </w:tcPr>
          <w:p w14:paraId="03AC7A35" w14:textId="77777777" w:rsidR="0089650F" w:rsidRDefault="0089650F"/>
        </w:tc>
      </w:tr>
      <w:tr w:rsidR="0089650F" w14:paraId="65A9DB77" w14:textId="77777777" w:rsidTr="004D30C8">
        <w:trPr>
          <w:trHeight w:val="1070"/>
        </w:trPr>
        <w:tc>
          <w:tcPr>
            <w:tcW w:w="4225" w:type="dxa"/>
          </w:tcPr>
          <w:p w14:paraId="1DE16969" w14:textId="4D4FADA7" w:rsidR="0089650F" w:rsidRDefault="000644C9">
            <w:r>
              <w:t>Internships</w:t>
            </w:r>
          </w:p>
        </w:tc>
        <w:tc>
          <w:tcPr>
            <w:tcW w:w="8725" w:type="dxa"/>
          </w:tcPr>
          <w:p w14:paraId="6B959CB6" w14:textId="77777777" w:rsidR="0089650F" w:rsidRDefault="0089650F"/>
        </w:tc>
      </w:tr>
      <w:tr w:rsidR="000644C9" w14:paraId="624C51A1" w14:textId="77777777" w:rsidTr="004D30C8">
        <w:trPr>
          <w:trHeight w:val="1070"/>
        </w:trPr>
        <w:tc>
          <w:tcPr>
            <w:tcW w:w="4225" w:type="dxa"/>
          </w:tcPr>
          <w:p w14:paraId="2808E814" w14:textId="26235169" w:rsidR="000644C9" w:rsidRDefault="000644C9">
            <w:r>
              <w:t>Independent research projects</w:t>
            </w:r>
          </w:p>
        </w:tc>
        <w:tc>
          <w:tcPr>
            <w:tcW w:w="8725" w:type="dxa"/>
          </w:tcPr>
          <w:p w14:paraId="78BC13B0" w14:textId="77777777" w:rsidR="000644C9" w:rsidRDefault="000644C9"/>
        </w:tc>
      </w:tr>
    </w:tbl>
    <w:p w14:paraId="6CE6BE08" w14:textId="2B501B2F" w:rsidR="00F772CA" w:rsidRDefault="00F772CA" w:rsidP="00F772CA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Step 2: Mapping Connections to Broader Contexts Across the Program</w:t>
      </w:r>
    </w:p>
    <w:p w14:paraId="6B15233A" w14:textId="6A3C83FC" w:rsidR="00F772CA" w:rsidRDefault="00F772CA" w:rsidP="00F772CA">
      <w:pPr>
        <w:rPr>
          <w:sz w:val="22"/>
          <w:szCs w:val="22"/>
        </w:rPr>
      </w:pPr>
      <w:r w:rsidRPr="00684D0E">
        <w:rPr>
          <w:sz w:val="22"/>
          <w:szCs w:val="22"/>
        </w:rPr>
        <w:t>List core</w:t>
      </w:r>
      <w:r w:rsidR="00523893">
        <w:rPr>
          <w:sz w:val="22"/>
          <w:szCs w:val="22"/>
        </w:rPr>
        <w:t xml:space="preserve"> c</w:t>
      </w:r>
      <w:r w:rsidRPr="00684D0E">
        <w:rPr>
          <w:sz w:val="22"/>
          <w:szCs w:val="22"/>
        </w:rPr>
        <w:t xml:space="preserve">ourses in your program across the top row. In which core courses </w:t>
      </w:r>
      <w:r w:rsidR="00623BE2">
        <w:rPr>
          <w:sz w:val="22"/>
          <w:szCs w:val="22"/>
        </w:rPr>
        <w:t>could you integrate</w:t>
      </w:r>
      <w:r w:rsidR="007A1269">
        <w:rPr>
          <w:sz w:val="22"/>
          <w:szCs w:val="22"/>
        </w:rPr>
        <w:t xml:space="preserve"> topics or pedagogies that facilitate connections to broader contexts</w:t>
      </w:r>
      <w:r w:rsidRPr="00684D0E">
        <w:rPr>
          <w:sz w:val="22"/>
          <w:szCs w:val="22"/>
        </w:rPr>
        <w:t xml:space="preserve">? </w:t>
      </w:r>
      <w:r w:rsidR="007A1269">
        <w:rPr>
          <w:sz w:val="22"/>
          <w:szCs w:val="22"/>
        </w:rPr>
        <w:t>How might you—and colleagues</w:t>
      </w:r>
      <w:r w:rsidR="007B6A6D">
        <w:rPr>
          <w:sz w:val="22"/>
          <w:szCs w:val="22"/>
        </w:rPr>
        <w:t xml:space="preserve">—scaffold students’ practice with wicked tendencies and wicked problems across </w:t>
      </w:r>
      <w:r w:rsidR="005129D5">
        <w:rPr>
          <w:sz w:val="22"/>
          <w:szCs w:val="22"/>
        </w:rPr>
        <w:t xml:space="preserve">your program? </w:t>
      </w:r>
      <w:r w:rsidRPr="00684D0E">
        <w:rPr>
          <w:sz w:val="22"/>
          <w:szCs w:val="22"/>
        </w:rPr>
        <w:t xml:space="preserve">In which core courses </w:t>
      </w:r>
      <w:r w:rsidR="00806AB8">
        <w:rPr>
          <w:sz w:val="22"/>
          <w:szCs w:val="22"/>
        </w:rPr>
        <w:t>might students first encounter a wicked tendency (e.g., a case study, a course-based undergraduate research experience), and when might the</w:t>
      </w:r>
      <w:r w:rsidR="00523893">
        <w:rPr>
          <w:sz w:val="22"/>
          <w:szCs w:val="22"/>
        </w:rPr>
        <w:t>y</w:t>
      </w:r>
      <w:r w:rsidR="00806AB8">
        <w:rPr>
          <w:sz w:val="22"/>
          <w:szCs w:val="22"/>
        </w:rPr>
        <w:t xml:space="preserve"> practice addressing increasing wickedness (e.g., </w:t>
      </w:r>
      <w:r w:rsidR="004B7B46">
        <w:rPr>
          <w:sz w:val="22"/>
          <w:szCs w:val="22"/>
        </w:rPr>
        <w:t>client projects, service-learning, etc.)</w:t>
      </w:r>
      <w:r w:rsidRPr="00684D0E">
        <w:rPr>
          <w:sz w:val="22"/>
          <w:szCs w:val="22"/>
        </w:rPr>
        <w:t>?</w:t>
      </w:r>
    </w:p>
    <w:p w14:paraId="24F55EAF" w14:textId="77777777" w:rsidR="00F772CA" w:rsidRDefault="00F772CA" w:rsidP="00F772C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70"/>
        <w:gridCol w:w="1845"/>
        <w:gridCol w:w="1845"/>
        <w:gridCol w:w="1845"/>
        <w:gridCol w:w="1845"/>
        <w:gridCol w:w="1845"/>
      </w:tblGrid>
      <w:tr w:rsidR="00F772CA" w14:paraId="594A4863" w14:textId="77777777" w:rsidTr="004D30C8">
        <w:trPr>
          <w:trHeight w:val="350"/>
        </w:trPr>
        <w:tc>
          <w:tcPr>
            <w:tcW w:w="1555" w:type="dxa"/>
            <w:shd w:val="clear" w:color="auto" w:fill="BFBFBF" w:themeFill="background1" w:themeFillShade="BF"/>
          </w:tcPr>
          <w:p w14:paraId="743E27BA" w14:textId="0268AD71" w:rsidR="00F772CA" w:rsidRPr="001168EB" w:rsidRDefault="00F772CA" w:rsidP="006C76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168EB">
              <w:rPr>
                <w:b/>
                <w:bCs/>
                <w:i/>
                <w:iCs/>
                <w:sz w:val="22"/>
                <w:szCs w:val="22"/>
              </w:rPr>
              <w:t>Courses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4A3F450E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7848FA8E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22C11CF0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657FE6B2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76C22DC0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12621EF5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F772CA" w14:paraId="58B0101A" w14:textId="77777777" w:rsidTr="009C3E3B">
        <w:tc>
          <w:tcPr>
            <w:tcW w:w="1555" w:type="dxa"/>
            <w:shd w:val="clear" w:color="auto" w:fill="D9D9D9" w:themeFill="background1" w:themeFillShade="D9"/>
          </w:tcPr>
          <w:p w14:paraId="11C7DE53" w14:textId="677AD88F" w:rsidR="00F772CA" w:rsidRPr="001168EB" w:rsidRDefault="00F772CA" w:rsidP="006C763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Connections</w:t>
            </w:r>
            <w:r w:rsidR="00623BE2">
              <w:rPr>
                <w:b/>
                <w:bCs/>
                <w:i/>
                <w:iCs/>
                <w:sz w:val="22"/>
                <w:szCs w:val="22"/>
              </w:rPr>
              <w:t xml:space="preserve"> to Broader Contexts</w:t>
            </w:r>
          </w:p>
        </w:tc>
        <w:tc>
          <w:tcPr>
            <w:tcW w:w="11395" w:type="dxa"/>
            <w:gridSpan w:val="6"/>
          </w:tcPr>
          <w:p w14:paraId="3BA8E042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</w:tr>
      <w:tr w:rsidR="00F772CA" w14:paraId="0FC46270" w14:textId="77777777" w:rsidTr="002E2AE4">
        <w:trPr>
          <w:trHeight w:val="1008"/>
        </w:trPr>
        <w:tc>
          <w:tcPr>
            <w:tcW w:w="1555" w:type="dxa"/>
            <w:shd w:val="clear" w:color="auto" w:fill="D9D9D9" w:themeFill="background1" w:themeFillShade="D9"/>
          </w:tcPr>
          <w:p w14:paraId="7DB890FA" w14:textId="35E13254" w:rsidR="00F772CA" w:rsidRDefault="004B7B46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Course-based undergraduate research</w:t>
            </w:r>
          </w:p>
          <w:p w14:paraId="2C9EC3BA" w14:textId="334578F2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70" w:type="dxa"/>
          </w:tcPr>
          <w:p w14:paraId="61C7889D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3ED0EB44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6FDE6FAF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436F8090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27A3F50C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57FC93F1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</w:tr>
      <w:tr w:rsidR="00F772CA" w14:paraId="3F51CAFF" w14:textId="77777777" w:rsidTr="002E2AE4">
        <w:trPr>
          <w:trHeight w:val="1008"/>
        </w:trPr>
        <w:tc>
          <w:tcPr>
            <w:tcW w:w="1555" w:type="dxa"/>
            <w:shd w:val="clear" w:color="auto" w:fill="D9D9D9" w:themeFill="background1" w:themeFillShade="D9"/>
          </w:tcPr>
          <w:p w14:paraId="4A46741B" w14:textId="42935435" w:rsidR="00A3039B" w:rsidRDefault="009C3E3B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Case-based projects</w:t>
            </w:r>
          </w:p>
          <w:p w14:paraId="5428D37C" w14:textId="4721133A" w:rsidR="00F772CA" w:rsidRDefault="009C3E3B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Client-based projects</w:t>
            </w:r>
          </w:p>
          <w:p w14:paraId="3D461E94" w14:textId="77777777" w:rsidR="00F772CA" w:rsidRPr="001168EB" w:rsidRDefault="00F772CA" w:rsidP="006C763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70" w:type="dxa"/>
          </w:tcPr>
          <w:p w14:paraId="460FE823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6B494E6B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7652588D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501C18D3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60F13D61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21CC8D34" w14:textId="77777777" w:rsidR="00F772CA" w:rsidRDefault="00F772CA" w:rsidP="006C7639">
            <w:pPr>
              <w:rPr>
                <w:sz w:val="22"/>
                <w:szCs w:val="22"/>
              </w:rPr>
            </w:pPr>
          </w:p>
        </w:tc>
      </w:tr>
      <w:tr w:rsidR="009C3E3B" w14:paraId="1692D201" w14:textId="77777777" w:rsidTr="002E2AE4">
        <w:trPr>
          <w:trHeight w:val="1008"/>
        </w:trPr>
        <w:tc>
          <w:tcPr>
            <w:tcW w:w="1555" w:type="dxa"/>
            <w:shd w:val="clear" w:color="auto" w:fill="D9D9D9" w:themeFill="background1" w:themeFillShade="D9"/>
          </w:tcPr>
          <w:p w14:paraId="549B558F" w14:textId="38A30BCA" w:rsidR="009C3E3B" w:rsidRPr="009C3E3B" w:rsidRDefault="009C3E3B" w:rsidP="009C3E3B">
            <w:pPr>
              <w:rPr>
                <w:i/>
                <w:iCs/>
                <w:sz w:val="22"/>
                <w:szCs w:val="22"/>
              </w:rPr>
            </w:pPr>
            <w:r w:rsidRPr="009C3E3B">
              <w:rPr>
                <w:i/>
                <w:iCs/>
                <w:sz w:val="22"/>
                <w:szCs w:val="22"/>
              </w:rPr>
              <w:t>Service-learning partnerships</w:t>
            </w:r>
          </w:p>
        </w:tc>
        <w:tc>
          <w:tcPr>
            <w:tcW w:w="2170" w:type="dxa"/>
          </w:tcPr>
          <w:p w14:paraId="662E3F1D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17383885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62DCF8E4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524533F8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43E79593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2661F222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</w:tr>
      <w:tr w:rsidR="009C3E3B" w14:paraId="76B2D519" w14:textId="77777777" w:rsidTr="002E2AE4">
        <w:trPr>
          <w:trHeight w:val="1008"/>
        </w:trPr>
        <w:tc>
          <w:tcPr>
            <w:tcW w:w="1555" w:type="dxa"/>
            <w:shd w:val="clear" w:color="auto" w:fill="D9D9D9" w:themeFill="background1" w:themeFillShade="D9"/>
          </w:tcPr>
          <w:p w14:paraId="0AEA34FC" w14:textId="7E11550F" w:rsidR="009C3E3B" w:rsidRPr="009C3E3B" w:rsidRDefault="009C3E3B" w:rsidP="009C3E3B">
            <w:pPr>
              <w:rPr>
                <w:i/>
                <w:iCs/>
                <w:sz w:val="22"/>
                <w:szCs w:val="22"/>
              </w:rPr>
            </w:pPr>
            <w:r w:rsidRPr="009C3E3B">
              <w:rPr>
                <w:i/>
                <w:iCs/>
                <w:sz w:val="22"/>
                <w:szCs w:val="22"/>
              </w:rPr>
              <w:t>Internships</w:t>
            </w:r>
          </w:p>
        </w:tc>
        <w:tc>
          <w:tcPr>
            <w:tcW w:w="2170" w:type="dxa"/>
          </w:tcPr>
          <w:p w14:paraId="55FF5F84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41003F18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41814406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171B7EE3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14DF82BD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5DA74FF2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</w:tr>
      <w:tr w:rsidR="009C3E3B" w14:paraId="135C475B" w14:textId="77777777" w:rsidTr="002E2AE4">
        <w:trPr>
          <w:trHeight w:val="1008"/>
        </w:trPr>
        <w:tc>
          <w:tcPr>
            <w:tcW w:w="1555" w:type="dxa"/>
            <w:shd w:val="clear" w:color="auto" w:fill="D9D9D9" w:themeFill="background1" w:themeFillShade="D9"/>
          </w:tcPr>
          <w:p w14:paraId="351F4322" w14:textId="79F91915" w:rsidR="009C3E3B" w:rsidRPr="009C3E3B" w:rsidRDefault="009C3E3B" w:rsidP="009C3E3B">
            <w:pPr>
              <w:rPr>
                <w:i/>
                <w:iCs/>
                <w:sz w:val="22"/>
                <w:szCs w:val="22"/>
              </w:rPr>
            </w:pPr>
            <w:r w:rsidRPr="009C3E3B">
              <w:rPr>
                <w:i/>
                <w:iCs/>
                <w:sz w:val="22"/>
                <w:szCs w:val="22"/>
              </w:rPr>
              <w:t>Independent research projects</w:t>
            </w:r>
          </w:p>
        </w:tc>
        <w:tc>
          <w:tcPr>
            <w:tcW w:w="2170" w:type="dxa"/>
          </w:tcPr>
          <w:p w14:paraId="0B5F2EAB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5D8E1C41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2FDEC40E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101409C8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6BC7F613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14:paraId="71382E7C" w14:textId="77777777" w:rsidR="009C3E3B" w:rsidRDefault="009C3E3B" w:rsidP="009C3E3B">
            <w:pPr>
              <w:rPr>
                <w:sz w:val="22"/>
                <w:szCs w:val="22"/>
              </w:rPr>
            </w:pPr>
          </w:p>
        </w:tc>
      </w:tr>
    </w:tbl>
    <w:p w14:paraId="593650F1" w14:textId="77777777" w:rsidR="00F772CA" w:rsidRDefault="00F772CA" w:rsidP="00F772CA">
      <w:pPr>
        <w:rPr>
          <w:sz w:val="22"/>
          <w:szCs w:val="22"/>
        </w:rPr>
      </w:pPr>
    </w:p>
    <w:p w14:paraId="6F536215" w14:textId="504D7742" w:rsidR="00F772CA" w:rsidRDefault="00F772CA">
      <w:pPr>
        <w:rPr>
          <w:sz w:val="22"/>
          <w:szCs w:val="22"/>
        </w:rPr>
      </w:pPr>
      <w:r>
        <w:rPr>
          <w:sz w:val="22"/>
          <w:szCs w:val="22"/>
        </w:rPr>
        <w:t xml:space="preserve">Consider repeating this mapping with elective courses to develop a more comprehensive understanding of </w:t>
      </w:r>
      <w:r w:rsidR="001C5548">
        <w:rPr>
          <w:sz w:val="22"/>
          <w:szCs w:val="22"/>
        </w:rPr>
        <w:t>students’ opportunities to practice responding to wicked tendencies and wicked problems.</w:t>
      </w:r>
    </w:p>
    <w:p w14:paraId="466608E1" w14:textId="77777777" w:rsidR="00A84CC1" w:rsidRDefault="00A84CC1" w:rsidP="00A84CC1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Sample Curriculum Mapping</w:t>
      </w:r>
    </w:p>
    <w:p w14:paraId="536F7DFF" w14:textId="1531F421" w:rsidR="00A84CC1" w:rsidRDefault="00A84CC1" w:rsidP="00A84CC1">
      <w:pPr>
        <w:rPr>
          <w:sz w:val="22"/>
          <w:szCs w:val="22"/>
        </w:rPr>
      </w:pPr>
      <w:r>
        <w:rPr>
          <w:sz w:val="22"/>
          <w:szCs w:val="22"/>
        </w:rPr>
        <w:t xml:space="preserve">This sample mapping focuses on when students </w:t>
      </w:r>
      <w:r w:rsidR="00243EB5">
        <w:rPr>
          <w:sz w:val="22"/>
          <w:szCs w:val="22"/>
        </w:rPr>
        <w:t>experience connections to broader contexts</w:t>
      </w:r>
      <w:r>
        <w:rPr>
          <w:sz w:val="22"/>
          <w:szCs w:val="22"/>
        </w:rPr>
        <w:t xml:space="preserve"> in</w:t>
      </w:r>
      <w:r w:rsidR="00243EB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professional writing</w:t>
      </w:r>
      <w:r w:rsidR="00243EB5">
        <w:rPr>
          <w:sz w:val="22"/>
          <w:szCs w:val="22"/>
        </w:rPr>
        <w:t xml:space="preserve"> major</w:t>
      </w:r>
      <w:r>
        <w:rPr>
          <w:sz w:val="22"/>
          <w:szCs w:val="22"/>
        </w:rPr>
        <w:t>.</w:t>
      </w:r>
    </w:p>
    <w:p w14:paraId="77418CCE" w14:textId="77777777" w:rsidR="00A84CC1" w:rsidRDefault="00A84CC1" w:rsidP="00A84CC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2168"/>
        <w:gridCol w:w="1845"/>
        <w:gridCol w:w="1844"/>
        <w:gridCol w:w="1848"/>
        <w:gridCol w:w="1845"/>
        <w:gridCol w:w="1846"/>
      </w:tblGrid>
      <w:tr w:rsidR="00A84CC1" w14:paraId="0095D295" w14:textId="77777777" w:rsidTr="00204F6A">
        <w:tc>
          <w:tcPr>
            <w:tcW w:w="1554" w:type="dxa"/>
            <w:shd w:val="clear" w:color="auto" w:fill="BFBFBF" w:themeFill="background1" w:themeFillShade="BF"/>
          </w:tcPr>
          <w:p w14:paraId="28C3ADA1" w14:textId="524E9858" w:rsidR="00A84CC1" w:rsidRPr="001168EB" w:rsidRDefault="00A84CC1" w:rsidP="006C76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168EB">
              <w:rPr>
                <w:b/>
                <w:bCs/>
                <w:i/>
                <w:iCs/>
                <w:sz w:val="22"/>
                <w:szCs w:val="22"/>
              </w:rPr>
              <w:t>Courses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75E8B773" w14:textId="77777777" w:rsidR="00A84CC1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Intro to Professional Writing &amp; Rhetoric</w:t>
            </w:r>
          </w:p>
          <w:p w14:paraId="7BD2BF4B" w14:textId="77777777" w:rsidR="00A84CC1" w:rsidRPr="001168EB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200-level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5F019EA6" w14:textId="77777777" w:rsidR="00A84CC1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Writing &amp; Technology Studio</w:t>
            </w:r>
          </w:p>
          <w:p w14:paraId="5C3030A0" w14:textId="77777777" w:rsidR="00A84CC1" w:rsidRPr="001168EB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200-level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3FC660A9" w14:textId="77777777" w:rsidR="00A84CC1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Writing as Inquiry</w:t>
            </w:r>
          </w:p>
          <w:p w14:paraId="38771ADF" w14:textId="77777777" w:rsidR="00A84CC1" w:rsidRPr="001168EB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200-level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4C4EB0EE" w14:textId="6B780A40" w:rsidR="00A84CC1" w:rsidRDefault="00710AED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Electives</w:t>
            </w:r>
          </w:p>
          <w:p w14:paraId="26BCC0F1" w14:textId="77777777" w:rsidR="00710AED" w:rsidRDefault="00710AED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200-level,</w:t>
            </w:r>
          </w:p>
          <w:p w14:paraId="01E68517" w14:textId="04CC2539" w:rsidR="00A84CC1" w:rsidRPr="001168EB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300-level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038C62AE" w14:textId="77777777" w:rsidR="00A84CC1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Internship</w:t>
            </w:r>
          </w:p>
          <w:p w14:paraId="3BB25DD8" w14:textId="77777777" w:rsidR="00A84CC1" w:rsidRPr="001168EB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300-level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44C6ED84" w14:textId="77777777" w:rsidR="00A84CC1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Senior Seminar</w:t>
            </w:r>
          </w:p>
          <w:p w14:paraId="1E92CB81" w14:textId="77777777" w:rsidR="00A84CC1" w:rsidRPr="001168EB" w:rsidRDefault="00A84CC1" w:rsidP="006C76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400-level</w:t>
            </w:r>
          </w:p>
        </w:tc>
      </w:tr>
      <w:tr w:rsidR="00243EB5" w14:paraId="2C422238" w14:textId="77777777" w:rsidTr="00204F6A">
        <w:tc>
          <w:tcPr>
            <w:tcW w:w="1554" w:type="dxa"/>
            <w:shd w:val="clear" w:color="auto" w:fill="D9D9D9" w:themeFill="background1" w:themeFillShade="D9"/>
          </w:tcPr>
          <w:p w14:paraId="0EBC52E2" w14:textId="0B13DE86" w:rsidR="00243EB5" w:rsidRPr="001168EB" w:rsidRDefault="00243EB5" w:rsidP="00243EB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Connections to Broader Contexts</w:t>
            </w:r>
          </w:p>
        </w:tc>
        <w:tc>
          <w:tcPr>
            <w:tcW w:w="11396" w:type="dxa"/>
            <w:gridSpan w:val="6"/>
          </w:tcPr>
          <w:p w14:paraId="69C456C8" w14:textId="77777777" w:rsidR="00243EB5" w:rsidRDefault="00243EB5" w:rsidP="00243EB5">
            <w:pPr>
              <w:rPr>
                <w:sz w:val="22"/>
                <w:szCs w:val="22"/>
              </w:rPr>
            </w:pPr>
          </w:p>
        </w:tc>
      </w:tr>
      <w:tr w:rsidR="00243EB5" w14:paraId="6A0EEC77" w14:textId="77777777" w:rsidTr="00907DDB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0277B31" w14:textId="23775E42" w:rsidR="00243EB5" w:rsidRPr="001168EB" w:rsidRDefault="00243EB5" w:rsidP="00DC340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Course-based undergraduate research</w:t>
            </w:r>
          </w:p>
        </w:tc>
        <w:tc>
          <w:tcPr>
            <w:tcW w:w="2168" w:type="dxa"/>
            <w:vAlign w:val="center"/>
          </w:tcPr>
          <w:p w14:paraId="05ADA6CD" w14:textId="00277078" w:rsidR="00243EB5" w:rsidRDefault="005B611B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Usability Study</w:t>
            </w:r>
          </w:p>
        </w:tc>
        <w:tc>
          <w:tcPr>
            <w:tcW w:w="1845" w:type="dxa"/>
            <w:vAlign w:val="center"/>
          </w:tcPr>
          <w:p w14:paraId="71E4A917" w14:textId="6DEDA0A6" w:rsidR="00243EB5" w:rsidRPr="00B33D08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6C37BC6B" w14:textId="706EA756" w:rsidR="00243EB5" w:rsidRDefault="005B611B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Interviews &amp; Surveys</w:t>
            </w:r>
          </w:p>
        </w:tc>
        <w:tc>
          <w:tcPr>
            <w:tcW w:w="1848" w:type="dxa"/>
            <w:vAlign w:val="center"/>
          </w:tcPr>
          <w:p w14:paraId="31443F7F" w14:textId="7798AA5D" w:rsidR="00243EB5" w:rsidRPr="008F77B0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2244B0E6" w14:textId="77777777" w:rsidR="00243EB5" w:rsidRPr="00C91A44" w:rsidRDefault="00243EB5" w:rsidP="00907D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40431F27" w14:textId="69108DEF" w:rsidR="00243EB5" w:rsidRPr="00113E2D" w:rsidRDefault="00243EB5" w:rsidP="00907DDB">
            <w:pPr>
              <w:rPr>
                <w:sz w:val="22"/>
                <w:szCs w:val="22"/>
              </w:rPr>
            </w:pPr>
          </w:p>
        </w:tc>
      </w:tr>
      <w:tr w:rsidR="00243EB5" w14:paraId="01A90BF6" w14:textId="77777777" w:rsidTr="00907DDB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9926E24" w14:textId="23837337" w:rsidR="00243EB5" w:rsidRPr="001168EB" w:rsidRDefault="00243EB5" w:rsidP="00DC340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Case-based projects</w:t>
            </w:r>
          </w:p>
        </w:tc>
        <w:tc>
          <w:tcPr>
            <w:tcW w:w="2168" w:type="dxa"/>
            <w:vAlign w:val="center"/>
          </w:tcPr>
          <w:p w14:paraId="288BDD87" w14:textId="77777777" w:rsidR="00243EB5" w:rsidRPr="007F6FF6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54F47485" w14:textId="792E1481" w:rsidR="00243EB5" w:rsidRDefault="00464373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Silicon Valley Startup Project</w:t>
            </w:r>
            <w:r w:rsidR="00797F25">
              <w:rPr>
                <w:sz w:val="22"/>
                <w:szCs w:val="22"/>
              </w:rPr>
              <w:t xml:space="preserve"> (Co-created cases)</w:t>
            </w:r>
          </w:p>
        </w:tc>
        <w:tc>
          <w:tcPr>
            <w:tcW w:w="1844" w:type="dxa"/>
            <w:vAlign w:val="center"/>
          </w:tcPr>
          <w:p w14:paraId="412703D5" w14:textId="60FAA9D4" w:rsidR="00243EB5" w:rsidRPr="00E33746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0CAE357" w14:textId="26839083" w:rsidR="00243EB5" w:rsidRDefault="00DC3404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Case-based projects in 200-level</w:t>
            </w:r>
          </w:p>
        </w:tc>
        <w:tc>
          <w:tcPr>
            <w:tcW w:w="1845" w:type="dxa"/>
            <w:vAlign w:val="center"/>
          </w:tcPr>
          <w:p w14:paraId="528035BB" w14:textId="1F24B70D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1B9A1875" w14:textId="3B21EA42" w:rsidR="00243EB5" w:rsidRDefault="00243EB5" w:rsidP="00907DDB">
            <w:pPr>
              <w:rPr>
                <w:sz w:val="22"/>
                <w:szCs w:val="22"/>
              </w:rPr>
            </w:pPr>
          </w:p>
        </w:tc>
      </w:tr>
      <w:tr w:rsidR="00DC3404" w14:paraId="3D30FDB6" w14:textId="77777777" w:rsidTr="00907DDB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FD2659A" w14:textId="114D09D7" w:rsidR="00DC3404" w:rsidRDefault="00DC3404" w:rsidP="00DC340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Client-based projects</w:t>
            </w:r>
          </w:p>
        </w:tc>
        <w:tc>
          <w:tcPr>
            <w:tcW w:w="2168" w:type="dxa"/>
            <w:vMerge w:val="restart"/>
            <w:vAlign w:val="center"/>
          </w:tcPr>
          <w:p w14:paraId="5590B02B" w14:textId="114CADE3" w:rsidR="00DC3404" w:rsidRPr="007F6FF6" w:rsidRDefault="00DC3404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Client-based or service-learning project, depending on who’s teaching the course</w:t>
            </w:r>
          </w:p>
        </w:tc>
        <w:tc>
          <w:tcPr>
            <w:tcW w:w="1845" w:type="dxa"/>
            <w:vAlign w:val="center"/>
          </w:tcPr>
          <w:p w14:paraId="2AC338B0" w14:textId="70CE0E30" w:rsidR="00DC3404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1E629454" w14:textId="36BF8924" w:rsidR="00DC3404" w:rsidRPr="00E33746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46E10C91" w14:textId="3F2FB28B" w:rsidR="00DC3404" w:rsidRDefault="00DC3404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Client-based or service-learning projects in 300-level</w:t>
            </w:r>
          </w:p>
        </w:tc>
        <w:tc>
          <w:tcPr>
            <w:tcW w:w="1845" w:type="dxa"/>
            <w:vAlign w:val="center"/>
          </w:tcPr>
          <w:p w14:paraId="42ABFD67" w14:textId="77777777" w:rsidR="00DC3404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5B253361" w14:textId="77777777" w:rsidR="00DC3404" w:rsidRDefault="00DC3404" w:rsidP="00907DDB">
            <w:pPr>
              <w:rPr>
                <w:sz w:val="22"/>
                <w:szCs w:val="22"/>
              </w:rPr>
            </w:pPr>
          </w:p>
        </w:tc>
      </w:tr>
      <w:tr w:rsidR="00DC3404" w14:paraId="6836C1C7" w14:textId="77777777" w:rsidTr="00907DDB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D3C8C78" w14:textId="47E54AC5" w:rsidR="00DC3404" w:rsidRPr="001168EB" w:rsidRDefault="00DC3404" w:rsidP="00DC3404">
            <w:pPr>
              <w:rPr>
                <w:i/>
                <w:iCs/>
                <w:sz w:val="22"/>
                <w:szCs w:val="22"/>
              </w:rPr>
            </w:pPr>
            <w:r w:rsidRPr="009C3E3B">
              <w:rPr>
                <w:i/>
                <w:iCs/>
                <w:sz w:val="22"/>
                <w:szCs w:val="22"/>
              </w:rPr>
              <w:t>Service-learning partnerships</w:t>
            </w:r>
          </w:p>
        </w:tc>
        <w:tc>
          <w:tcPr>
            <w:tcW w:w="2168" w:type="dxa"/>
            <w:vMerge/>
            <w:vAlign w:val="center"/>
          </w:tcPr>
          <w:p w14:paraId="26E5C8F7" w14:textId="77777777" w:rsidR="00DC3404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5127DE8" w14:textId="1733CBFE" w:rsidR="00DC3404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717513B5" w14:textId="29E400B9" w:rsidR="00DC3404" w:rsidRPr="00C2556C" w:rsidRDefault="00907DDB" w:rsidP="00907DD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8FC11" wp14:editId="32FBCF10">
                      <wp:simplePos x="0" y="0"/>
                      <wp:positionH relativeFrom="column">
                        <wp:posOffset>-2397125</wp:posOffset>
                      </wp:positionH>
                      <wp:positionV relativeFrom="paragraph">
                        <wp:posOffset>-948055</wp:posOffset>
                      </wp:positionV>
                      <wp:extent cx="5045075" cy="2454275"/>
                      <wp:effectExtent l="12700" t="12700" r="34925" b="34925"/>
                      <wp:wrapNone/>
                      <wp:docPr id="101129056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5075" cy="2454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C7B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88.75pt;margin-top:-74.65pt;width:397.25pt;height:1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CSf3gEAAA8EAAAOAAAAZHJzL2Uyb0RvYy54bWysU02P0zAQvSPxHyzfadLSwipquocuywXB&#13;&#10;io8f4DrjxJJjW/bQpP+esZOmLIgDiBwcf8x78+Z5vL8fe8POEKJ2tubrVckZWOkabduaf/v6+OqO&#13;&#10;s4jCNsI4CzW/QOT3h5cv9oOvYOM6ZxoIjEhsrAZf8w7RV0URZQe9iCvnwdKhcqEXSMvQFk0QA7H3&#13;&#10;ptiU5ZticKHxwUmIkXYfpkN+yPxKgcRPSkVAZmpO2jCPIY+nNBaHvajaIHyn5SxD/IOKXmhLSReq&#13;&#10;B4GCfQ/6N6pey+CiU7iSri+cUlpCroGqWZe/VPOlEx5yLWRO9ItN8f/Ryo/no30KZMPgYxX9U0hV&#13;&#10;jCr06U/62JjNuixmwYhM0uau3O7KtzvOJJ1ttrvthhbEU9zgPkR8D65naVLziEHotsOjs5YuxoV1&#13;&#10;tkycP0ScgFdAym0sG2r++m5dljksOqObR21MOoyhPR1NYGdB93os0zfnfhaGQpt3tmF48dR7GLSw&#13;&#10;rYE50lgSe6s6z/BiYEr+GRTTDdU5icwNCUtKISVYXC9MFJ1giuQtwFl26uQ/Aef4BIXcrH8DXhA5&#13;&#10;s7O4gHttXZhMe54dx6tkNcVfHZjqThacXHPJ/ZCtoa7LNzq/kNTWP68z/PaODz8AAAD//wMAUEsD&#13;&#10;BBQABgAIAAAAIQAr9Get5wAAABIBAAAPAAAAZHJzL2Rvd25yZXYueG1sTI9PT8MwDMXvSHyHyEhc&#13;&#10;0Ja2GSt0TScE9DSG1A3uWROaavlTNdlWvj3mBBfLlp+f369cT9aQsxpD7x2HdJ4AUa71sncdh499&#13;&#10;PXsAEqJwUhjvFIdvFWBdXV+VopD+4hp13sWOoIkLheCgYxwKSkOrlRVh7gflcPflRysijmNH5Sgu&#13;&#10;aG4NzZJkSa3oHX7QYlDPWrXH3clyqAdz3L6/veo75j83W+Ob2rKG89ub6WWF5WkFJKop/l3ALwPm&#13;&#10;hwqDHfzJyUAMhxnL83vUYpcuHhkQ1CzSHCEPHDKWZ0Crkv5HqX4AAAD//wMAUEsBAi0AFAAGAAgA&#13;&#10;AAAhALaDOJL+AAAA4QEAABMAAAAAAAAAAAAAAAAAAAAAAFtDb250ZW50X1R5cGVzXS54bWxQSwEC&#13;&#10;LQAUAAYACAAAACEAOP0h/9YAAACUAQAACwAAAAAAAAAAAAAAAAAvAQAAX3JlbHMvLnJlbHNQSwEC&#13;&#10;LQAUAAYACAAAACEAXXwkn94BAAAPBAAADgAAAAAAAAAAAAAAAAAuAgAAZHJzL2Uyb0RvYy54bWxQ&#13;&#10;SwECLQAUAAYACAAAACEAK/RnrecAAAASAQAADwAAAAAAAAAAAAAAAAA4BAAAZHJzL2Rvd25yZXYu&#13;&#10;eG1sUEsFBgAAAAAEAAQA8wAAAEwFAAAAAA==&#13;&#10;" strokecolor="#c00000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8" w:type="dxa"/>
            <w:vMerge/>
            <w:vAlign w:val="center"/>
          </w:tcPr>
          <w:p w14:paraId="3381EC35" w14:textId="77777777" w:rsidR="00DC3404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1A4F84FF" w14:textId="370D0FC4" w:rsidR="00DC3404" w:rsidRPr="00C50D73" w:rsidRDefault="00DC3404" w:rsidP="00907DDB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77ADF902" w14:textId="5E8F35BA" w:rsidR="00DC3404" w:rsidRDefault="00DC3404" w:rsidP="00907DDB">
            <w:pPr>
              <w:rPr>
                <w:sz w:val="22"/>
                <w:szCs w:val="22"/>
              </w:rPr>
            </w:pPr>
          </w:p>
        </w:tc>
      </w:tr>
      <w:tr w:rsidR="00243EB5" w14:paraId="2A5FA2BC" w14:textId="77777777" w:rsidTr="00907DDB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7B4D978" w14:textId="346C42A5" w:rsidR="00243EB5" w:rsidRPr="001168EB" w:rsidRDefault="00243EB5" w:rsidP="00DC3404">
            <w:pPr>
              <w:rPr>
                <w:i/>
                <w:iCs/>
                <w:sz w:val="22"/>
                <w:szCs w:val="22"/>
              </w:rPr>
            </w:pPr>
            <w:r w:rsidRPr="009C3E3B">
              <w:rPr>
                <w:i/>
                <w:iCs/>
                <w:sz w:val="22"/>
                <w:szCs w:val="22"/>
              </w:rPr>
              <w:t>Internships</w:t>
            </w:r>
          </w:p>
        </w:tc>
        <w:tc>
          <w:tcPr>
            <w:tcW w:w="2168" w:type="dxa"/>
            <w:vAlign w:val="center"/>
          </w:tcPr>
          <w:p w14:paraId="0D98BEBD" w14:textId="77777777" w:rsidR="00243EB5" w:rsidRPr="00594A38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37DA0578" w14:textId="39257A5C" w:rsidR="00243EB5" w:rsidRDefault="00F44D66" w:rsidP="00907DD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AE251" wp14:editId="1CB5C0A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69850</wp:posOffset>
                      </wp:positionV>
                      <wp:extent cx="1628140" cy="914400"/>
                      <wp:effectExtent l="0" t="0" r="10160" b="12700"/>
                      <wp:wrapNone/>
                      <wp:docPr id="78450319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14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620147A5" w14:textId="5EB21D66" w:rsidR="00907DDB" w:rsidRPr="003C18CE" w:rsidRDefault="003C18C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C18C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“</w:t>
                                  </w:r>
                                  <w:r w:rsidR="00907DDB" w:rsidRPr="003C18C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Wickedness</w:t>
                                  </w:r>
                                  <w:r w:rsidRPr="003C18C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”</w:t>
                                  </w:r>
                                  <w:r w:rsidR="00907DDB" w:rsidRPr="003C18C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 xml:space="preserve"> increases</w:t>
                                  </w:r>
                                  <w:r w:rsidRPr="003C18C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 xml:space="preserve"> as students advance in the curriculum.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AE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pt;margin-top:5.5pt;width:128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wLVKwIAAFYEAAAOAAAAZHJzL2Uyb0RvYy54bWysVMtu2zAQvBfoPxC815INN0kFy4HrwEWB&#13;&#10;IAngFDnTFGkJoLjskrbkfn2XlF9IeyqqA7XkrPYxs9Tsvm8N2yv0DdiSj0c5Z8pKqBq7LfmP19Wn&#13;&#10;O858ELYSBqwq+UF5fj//+GHWuUJNoAZTKWQUxPqicyWvQ3BFlnlZq1b4EThlCdSArQi0xW1Woego&#13;&#10;emuySZ7fZB1g5RCk8p5OHwaQz1N8rZUMz1p7FZgpOdUW0opp3cQ1m89EsUXh6kYeyxD/UEUrGktJ&#13;&#10;z6EeRBBsh80fodpGInjQYSShzUDrRqrUA3Uzzt91s66FU6kXIse7M03+/4WVT/u1e0EW+q/Qk4CR&#13;&#10;kM75wtNh7KfX2MY3VcoIJwoPZ9pUH5iMH91M7sZTgiRhX8bTaZ54zS5fO/Thm4KWRaPkSLIktsT+&#13;&#10;0QfKSK4nl5jMwqoxJkljLOsow+SWYkbIg2mqiKYNbjdLg2wvSN1lHp9YP0W7cqOdsXR46Spaod/0&#13;&#10;x1Y3UB2IAYRhOLyTq4bKfBQ+vAikaaDOaMLDMy3aAJUDR4uzGvDX386jP4lEKGcdTVfJ/c+dQMWZ&#13;&#10;+W5JvsQSjWPaTD/fTigHXiOba8Tu2iVQi2O6S04mM/oHczI1QvtGF2ERsxIkrKTcJQ8ncxmGmaeL&#13;&#10;JNVikZxoAJ0Ij3btZAwdCY0ivPZvAt1RqUAaP8FpDkXxTrDBd5BssQugm6RmJHhg9cg7DW+S5XjR&#13;&#10;4u243ievy+9g/hsAAP//AwBQSwMEFAAGAAgAAAAhAPqFsIPiAAAADQEAAA8AAABkcnMvZG93bnJl&#13;&#10;di54bWxMT8FOwzAMvSPtHyJP4ralG3SauqbTBJpAcJg2EFzTxmuqNU7VZFvh6zEnuFj2e/bze/l6&#13;&#10;cK24YB8aTwpm0wQEUuVNQ7WC97ftZAkiRE1Gt55QwRcGWBejm1xnxl9pj5dDrAWLUMi0Ahtjl0kZ&#13;&#10;KotOh6nvkJg7+t7pyGNfS9PrK4u7Vs6TZCGdbog/WN3hg8XqdDg7BY15+X6uP+3JlHi3fN0+7fbD&#13;&#10;h1Tqdjw8rrhsViAiDvHvAn4zsH8o2Fjpz2SCaBVM7nmR4RnHYnqeLrgpGUjTBGSRy/8pih8AAAD/&#13;&#10;/wMAUEsBAi0AFAAGAAgAAAAhALaDOJL+AAAA4QEAABMAAAAAAAAAAAAAAAAAAAAAAFtDb250ZW50&#13;&#10;X1R5cGVzXS54bWxQSwECLQAUAAYACAAAACEAOP0h/9YAAACUAQAACwAAAAAAAAAAAAAAAAAvAQAA&#13;&#10;X3JlbHMvLnJlbHNQSwECLQAUAAYACAAAACEAgPsC1SsCAABWBAAADgAAAAAAAAAAAAAAAAAuAgAA&#13;&#10;ZHJzL2Uyb0RvYy54bWxQSwECLQAUAAYACAAAACEA+oWwg+IAAAANAQAADwAAAAAAAAAAAAAAAACF&#13;&#10;BAAAZHJzL2Rvd25yZXYueG1sUEsFBgAAAAAEAAQA8wAAAJQFAAAAAA==&#13;&#10;" filled="f" strokecolor="#c00000" strokeweight="1pt">
                      <v:textbox>
                        <w:txbxContent>
                          <w:p w14:paraId="620147A5" w14:textId="5EB21D66" w:rsidR="00907DDB" w:rsidRPr="003C18CE" w:rsidRDefault="003C18CE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3C18CE">
                              <w:rPr>
                                <w:b/>
                                <w:bCs/>
                                <w:color w:val="C00000"/>
                              </w:rPr>
                              <w:t>“</w:t>
                            </w:r>
                            <w:r w:rsidR="00907DDB" w:rsidRPr="003C18CE">
                              <w:rPr>
                                <w:b/>
                                <w:bCs/>
                                <w:color w:val="C00000"/>
                              </w:rPr>
                              <w:t>Wickedness</w:t>
                            </w:r>
                            <w:r w:rsidRPr="003C18CE">
                              <w:rPr>
                                <w:b/>
                                <w:bCs/>
                                <w:color w:val="C00000"/>
                              </w:rPr>
                              <w:t>”</w:t>
                            </w:r>
                            <w:r w:rsidR="00907DDB" w:rsidRPr="003C18CE">
                              <w:rPr>
                                <w:b/>
                                <w:bCs/>
                                <w:color w:val="C00000"/>
                              </w:rPr>
                              <w:t xml:space="preserve"> increases</w:t>
                            </w:r>
                            <w:r w:rsidRPr="003C18CE">
                              <w:rPr>
                                <w:b/>
                                <w:bCs/>
                                <w:color w:val="C00000"/>
                              </w:rPr>
                              <w:t xml:space="preserve"> as students advance in the curriculum.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4" w:type="dxa"/>
            <w:vAlign w:val="center"/>
          </w:tcPr>
          <w:p w14:paraId="421097E6" w14:textId="26F96525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1A01B17" w14:textId="77777777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63BEE3D" w14:textId="59DD6FA3" w:rsidR="00243EB5" w:rsidRDefault="00EA6E37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internship</w:t>
            </w:r>
            <w:r w:rsidR="00C1191B">
              <w:rPr>
                <w:sz w:val="22"/>
                <w:szCs w:val="22"/>
              </w:rPr>
              <w:t>(s) in third and fourth years</w:t>
            </w:r>
          </w:p>
        </w:tc>
        <w:tc>
          <w:tcPr>
            <w:tcW w:w="1846" w:type="dxa"/>
            <w:vAlign w:val="center"/>
          </w:tcPr>
          <w:p w14:paraId="042F6C6F" w14:textId="77777777" w:rsidR="00243EB5" w:rsidRDefault="00243EB5" w:rsidP="00907DDB">
            <w:pPr>
              <w:rPr>
                <w:sz w:val="22"/>
                <w:szCs w:val="22"/>
              </w:rPr>
            </w:pPr>
          </w:p>
        </w:tc>
      </w:tr>
      <w:tr w:rsidR="00243EB5" w14:paraId="19C35312" w14:textId="77777777" w:rsidTr="00907DDB"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EA25A3C" w14:textId="661CB9C4" w:rsidR="00243EB5" w:rsidRPr="009C3E3B" w:rsidRDefault="00FF250D" w:rsidP="00DC340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Independent research projects</w:t>
            </w:r>
          </w:p>
        </w:tc>
        <w:tc>
          <w:tcPr>
            <w:tcW w:w="2168" w:type="dxa"/>
            <w:vAlign w:val="center"/>
          </w:tcPr>
          <w:p w14:paraId="656C9C84" w14:textId="77777777" w:rsidR="00243EB5" w:rsidRPr="00594A38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12BD6360" w14:textId="77777777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069A112D" w14:textId="77777777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5F91A0C5" w14:textId="77777777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70D192F6" w14:textId="77777777" w:rsidR="00243EB5" w:rsidRDefault="00243EB5" w:rsidP="00907DDB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2FFC8B3" w14:textId="25A7C761" w:rsidR="00243EB5" w:rsidRDefault="00901E9E" w:rsidP="00907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Capstone</w:t>
            </w:r>
            <w:r w:rsidR="00EA6E37">
              <w:rPr>
                <w:sz w:val="22"/>
                <w:szCs w:val="22"/>
              </w:rPr>
              <w:t xml:space="preserve"> Project</w:t>
            </w:r>
          </w:p>
        </w:tc>
      </w:tr>
    </w:tbl>
    <w:p w14:paraId="2E64A49D" w14:textId="77777777" w:rsidR="00A84CC1" w:rsidRPr="007A2506" w:rsidRDefault="00A84CC1"/>
    <w:sectPr w:rsidR="00A84CC1" w:rsidRPr="007A2506" w:rsidSect="007A2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3FD3" w14:textId="77777777" w:rsidR="002C4CCB" w:rsidRDefault="002C4CCB" w:rsidP="00317822">
      <w:r>
        <w:separator/>
      </w:r>
    </w:p>
  </w:endnote>
  <w:endnote w:type="continuationSeparator" w:id="0">
    <w:p w14:paraId="5DAB9F44" w14:textId="77777777" w:rsidR="002C4CCB" w:rsidRDefault="002C4CCB" w:rsidP="003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EF02" w14:textId="77777777" w:rsidR="00317822" w:rsidRDefault="0031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16E8" w14:textId="77777777" w:rsidR="00317822" w:rsidRDefault="00317822" w:rsidP="00317822">
    <w:pPr>
      <w:pStyle w:val="Footer"/>
    </w:pPr>
    <w:r>
      <w:t xml:space="preserve">Supplemental resource to </w:t>
    </w:r>
    <w:r w:rsidRPr="00107793">
      <w:rPr>
        <w:i/>
        <w:iCs/>
      </w:rPr>
      <w:t>Key Practices for Fostering Engaged Learning: A Guide for Faculty and Staff</w:t>
    </w:r>
    <w:r>
      <w:t>, by Jessie L. Moore. Stylus Publishing / Center for Engaged Learning, 2023.</w:t>
    </w:r>
  </w:p>
  <w:p w14:paraId="0D660B96" w14:textId="77777777" w:rsidR="00317822" w:rsidRDefault="0031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F634" w14:textId="77777777" w:rsidR="00317822" w:rsidRDefault="0031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BD18" w14:textId="77777777" w:rsidR="002C4CCB" w:rsidRDefault="002C4CCB" w:rsidP="00317822">
      <w:r>
        <w:separator/>
      </w:r>
    </w:p>
  </w:footnote>
  <w:footnote w:type="continuationSeparator" w:id="0">
    <w:p w14:paraId="478C8D12" w14:textId="77777777" w:rsidR="002C4CCB" w:rsidRDefault="002C4CCB" w:rsidP="0031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8E02" w14:textId="77777777" w:rsidR="00317822" w:rsidRDefault="0031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318D" w14:textId="77777777" w:rsidR="00317822" w:rsidRDefault="00317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9A8C" w14:textId="77777777" w:rsidR="00317822" w:rsidRDefault="0031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06"/>
    <w:rsid w:val="000644C9"/>
    <w:rsid w:val="001C5548"/>
    <w:rsid w:val="00204F6A"/>
    <w:rsid w:val="00243EB5"/>
    <w:rsid w:val="002640F6"/>
    <w:rsid w:val="002C4CCB"/>
    <w:rsid w:val="002E2AE4"/>
    <w:rsid w:val="00317822"/>
    <w:rsid w:val="0039168E"/>
    <w:rsid w:val="003C18CE"/>
    <w:rsid w:val="00464373"/>
    <w:rsid w:val="00481F1B"/>
    <w:rsid w:val="004B7B46"/>
    <w:rsid w:val="004D30C8"/>
    <w:rsid w:val="005129D5"/>
    <w:rsid w:val="00523893"/>
    <w:rsid w:val="00582753"/>
    <w:rsid w:val="005B611B"/>
    <w:rsid w:val="00623BE2"/>
    <w:rsid w:val="00684D0E"/>
    <w:rsid w:val="00710AED"/>
    <w:rsid w:val="00797F25"/>
    <w:rsid w:val="007A1269"/>
    <w:rsid w:val="007A2506"/>
    <w:rsid w:val="007B6A6D"/>
    <w:rsid w:val="00806AB8"/>
    <w:rsid w:val="0089650F"/>
    <w:rsid w:val="00901E9E"/>
    <w:rsid w:val="00907DDB"/>
    <w:rsid w:val="009C3E3B"/>
    <w:rsid w:val="00A3039B"/>
    <w:rsid w:val="00A55F10"/>
    <w:rsid w:val="00A84CC1"/>
    <w:rsid w:val="00B1726C"/>
    <w:rsid w:val="00C1191B"/>
    <w:rsid w:val="00C23FB6"/>
    <w:rsid w:val="00C6396F"/>
    <w:rsid w:val="00DC3404"/>
    <w:rsid w:val="00EA6E37"/>
    <w:rsid w:val="00F04987"/>
    <w:rsid w:val="00F44D66"/>
    <w:rsid w:val="00F772CA"/>
    <w:rsid w:val="00FC77F9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3230"/>
  <w15:chartTrackingRefBased/>
  <w15:docId w15:val="{07ABC0B4-B565-2741-9BB3-1228BE5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22"/>
  </w:style>
  <w:style w:type="paragraph" w:styleId="Footer">
    <w:name w:val="footer"/>
    <w:basedOn w:val="Normal"/>
    <w:link w:val="FooterChar"/>
    <w:uiPriority w:val="99"/>
    <w:unhideWhenUsed/>
    <w:rsid w:val="00317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FDD19B3010E43A79F374DBBAE139B" ma:contentTypeVersion="16" ma:contentTypeDescription="Create a new document." ma:contentTypeScope="" ma:versionID="407e2c64c9e1e559e7b96e4eabbaaf59">
  <xsd:schema xmlns:xsd="http://www.w3.org/2001/XMLSchema" xmlns:xs="http://www.w3.org/2001/XMLSchema" xmlns:p="http://schemas.microsoft.com/office/2006/metadata/properties" xmlns:ns2="fb3ba4cc-5d34-4c9c-9708-e734ee7f0b25" xmlns:ns3="ec356b36-7d92-47b3-8cc2-b03bb8249d08" targetNamespace="http://schemas.microsoft.com/office/2006/metadata/properties" ma:root="true" ma:fieldsID="a51102bfa1afb9661e9d7a3520f601a3" ns2:_="" ns3:_="">
    <xsd:import namespace="fb3ba4cc-5d34-4c9c-9708-e734ee7f0b25"/>
    <xsd:import namespace="ec356b36-7d92-47b3-8cc2-b03bb8249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ba4cc-5d34-4c9c-9708-e734ee7f0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7a0480-a2b6-41fc-9132-c34d873c2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6b36-7d92-47b3-8cc2-b03bb8249d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261bf8-7c87-412c-8bd9-1a34ca79ce97}" ma:internalName="TaxCatchAll" ma:showField="CatchAllData" ma:web="ec356b36-7d92-47b3-8cc2-b03bb8249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DE1ED-72A4-45CB-AF5D-409F8302E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F525C-3312-490A-8AF4-C83F844D1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ba4cc-5d34-4c9c-9708-e734ee7f0b25"/>
    <ds:schemaRef ds:uri="ec356b36-7d92-47b3-8cc2-b03bb8249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336</Words>
  <Characters>2001</Characters>
  <Application>Microsoft Office Word</Application>
  <DocSecurity>0</DocSecurity>
  <Lines>28</Lines>
  <Paragraphs>10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Moore</dc:creator>
  <cp:keywords/>
  <dc:description/>
  <cp:lastModifiedBy>Jennie Goforth</cp:lastModifiedBy>
  <cp:revision>39</cp:revision>
  <dcterms:created xsi:type="dcterms:W3CDTF">2023-05-02T14:46:00Z</dcterms:created>
  <dcterms:modified xsi:type="dcterms:W3CDTF">2023-05-02T20:15:00Z</dcterms:modified>
</cp:coreProperties>
</file>