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E473" w14:textId="5BFEDE9D" w:rsidR="00E950EB" w:rsidRPr="00AC20B3" w:rsidRDefault="00E950EB" w:rsidP="00390965">
      <w:pPr>
        <w:pStyle w:val="Heading1"/>
        <w:spacing w:line="276" w:lineRule="auto"/>
        <w:rPr>
          <w:color w:val="B59A57"/>
          <w:sz w:val="54"/>
          <w:szCs w:val="54"/>
        </w:rPr>
      </w:pPr>
      <w:r w:rsidRPr="00AC20B3">
        <w:rPr>
          <w:color w:val="B59A57"/>
          <w:sz w:val="54"/>
          <w:szCs w:val="54"/>
        </w:rPr>
        <w:t>An</w:t>
      </w:r>
      <w:r w:rsidR="00AC20B3" w:rsidRPr="00AC20B3">
        <w:rPr>
          <w:color w:val="B59A57"/>
          <w:sz w:val="54"/>
          <w:szCs w:val="54"/>
        </w:rPr>
        <w:t>alyzing Some Definitions of SoTL</w:t>
      </w:r>
    </w:p>
    <w:p w14:paraId="380DE749" w14:textId="2CC85D73" w:rsidR="00370AFD" w:rsidRPr="009F2FA7" w:rsidRDefault="0098720C" w:rsidP="002E217F">
      <w:pPr>
        <w:pBdr>
          <w:top w:val="nil"/>
          <w:left w:val="nil"/>
          <w:bottom w:val="nil"/>
          <w:right w:val="nil"/>
          <w:between w:val="nil"/>
        </w:pBdr>
        <w:rPr>
          <w:rFonts w:ascii="Montserrat" w:eastAsia="Calibri" w:hAnsi="Montserrat" w:cs="Calibri"/>
          <w:color w:val="000000" w:themeColor="text1"/>
          <w:sz w:val="22"/>
          <w:szCs w:val="22"/>
        </w:rPr>
      </w:pPr>
      <w:r w:rsidRPr="0098720C">
        <w:rPr>
          <w:rFonts w:ascii="Montserrat" w:eastAsia="Calibri" w:hAnsi="Montserrat" w:cs="Calibri"/>
          <w:color w:val="000000" w:themeColor="text1"/>
          <w:sz w:val="22"/>
          <w:szCs w:val="22"/>
        </w:rPr>
        <w:t xml:space="preserve">In chapter 1, we offer our simple definition of SoTL as “inquiry into teaching and learning for the purposes of improving teaching and learning in context and contributing to what we know about teaching and learning, in support of the broader aims of higher education.” We also acknowledge that “our definition is missing a lot of </w:t>
      </w:r>
      <w:proofErr w:type="gramStart"/>
      <w:r w:rsidRPr="0098720C">
        <w:rPr>
          <w:rFonts w:ascii="Montserrat" w:eastAsia="Calibri" w:hAnsi="Montserrat" w:cs="Calibri"/>
          <w:color w:val="000000" w:themeColor="text1"/>
          <w:sz w:val="22"/>
          <w:szCs w:val="22"/>
        </w:rPr>
        <w:t>nuance</w:t>
      </w:r>
      <w:proofErr w:type="gramEnd"/>
      <w:r w:rsidRPr="0098720C">
        <w:rPr>
          <w:rFonts w:ascii="Montserrat" w:eastAsia="Calibri" w:hAnsi="Montserrat" w:cs="Calibri"/>
          <w:color w:val="000000" w:themeColor="text1"/>
          <w:sz w:val="22"/>
          <w:szCs w:val="22"/>
        </w:rPr>
        <w:t xml:space="preserve">,” so let’s consider some of those nuances. </w:t>
      </w:r>
    </w:p>
    <w:p w14:paraId="7637436B" w14:textId="40A87976" w:rsidR="00370AFD" w:rsidRPr="009F2FA7" w:rsidRDefault="009F2FA7" w:rsidP="00AC2C5A">
      <w:pPr>
        <w:pStyle w:val="Heading2"/>
        <w:rPr>
          <w:rFonts w:cs="Calibri"/>
          <w:color w:val="000000" w:themeColor="text1"/>
        </w:rPr>
      </w:pPr>
      <w:r w:rsidRPr="009F2FA7">
        <w:t xml:space="preserve">A Handful of </w:t>
      </w:r>
      <w:r w:rsidRPr="00AC2C5A">
        <w:t>Definitions</w:t>
      </w:r>
    </w:p>
    <w:p w14:paraId="0CBC6286" w14:textId="1D147B07" w:rsidR="007C37A1" w:rsidRPr="007C37A1" w:rsidRDefault="00171787" w:rsidP="002E217F">
      <w:pPr>
        <w:pBdr>
          <w:top w:val="nil"/>
          <w:left w:val="nil"/>
          <w:bottom w:val="nil"/>
          <w:right w:val="nil"/>
          <w:between w:val="nil"/>
        </w:pBdr>
        <w:rPr>
          <w:rFonts w:ascii="Montserrat" w:eastAsia="Calibri" w:hAnsi="Montserrat" w:cs="Calibri"/>
          <w:color w:val="000000" w:themeColor="text1"/>
          <w:sz w:val="22"/>
          <w:szCs w:val="22"/>
        </w:rPr>
      </w:pPr>
      <w:r w:rsidRPr="00171787">
        <w:rPr>
          <w:rFonts w:ascii="Montserrat" w:eastAsia="Calibri" w:hAnsi="Montserrat" w:cs="Calibri"/>
          <w:color w:val="000000" w:themeColor="text1"/>
          <w:sz w:val="22"/>
          <w:szCs w:val="22"/>
        </w:rPr>
        <w:t>Below are some more detailed definitions of SoTL. As you read a few or all of them, note any observations.  Where’s the common ground, and where are the distinctions? How does each describe the components of SoTL? What emerges as a consensus among these five? You’ll chart them in the matrix in the next section.</w:t>
      </w:r>
    </w:p>
    <w:p w14:paraId="3C793917" w14:textId="03CDE44F" w:rsidR="00E00EB6" w:rsidRPr="00594297" w:rsidRDefault="00E00EB6" w:rsidP="00594297">
      <w:pPr>
        <w:pStyle w:val="Heading3"/>
      </w:pPr>
      <w:r w:rsidRPr="00594297">
        <w:t>A Visual Definition</w:t>
      </w:r>
    </w:p>
    <w:p w14:paraId="424D50AB" w14:textId="5C67C0B3" w:rsidR="000027C1" w:rsidRDefault="0029624E" w:rsidP="002E217F">
      <w:pPr>
        <w:pBdr>
          <w:top w:val="nil"/>
          <w:left w:val="nil"/>
          <w:bottom w:val="nil"/>
          <w:right w:val="nil"/>
          <w:between w:val="nil"/>
        </w:pBdr>
        <w:rPr>
          <w:rFonts w:ascii="Montserrat" w:eastAsia="Calibri" w:hAnsi="Montserrat" w:cs="Calibri"/>
          <w:color w:val="000000"/>
          <w:sz w:val="22"/>
          <w:szCs w:val="22"/>
        </w:rPr>
      </w:pPr>
      <w:r w:rsidRPr="007C37A1">
        <w:rPr>
          <w:rFonts w:ascii="Montserrat" w:eastAsia="Calibri" w:hAnsi="Montserrat" w:cs="Calibri"/>
          <w:color w:val="000000"/>
          <w:sz w:val="22"/>
          <w:szCs w:val="22"/>
        </w:rPr>
        <w:t xml:space="preserve">In SoTL workshops, Nancy shares the visual definition below (Chick 2020) as a graphic organizer for participants’ guided notes. She developed this more complex definition of SoTL to address some common questions and misconceptions that have emerged over the years.   </w:t>
      </w:r>
    </w:p>
    <w:p w14:paraId="5D6C03EB" w14:textId="77777777" w:rsidR="009F58AE" w:rsidRDefault="009F58AE" w:rsidP="002E217F">
      <w:pPr>
        <w:pBdr>
          <w:top w:val="nil"/>
          <w:left w:val="nil"/>
          <w:bottom w:val="nil"/>
          <w:right w:val="nil"/>
          <w:between w:val="nil"/>
        </w:pBdr>
        <w:rPr>
          <w:rFonts w:ascii="Montserrat" w:eastAsia="Calibri" w:hAnsi="Montserrat" w:cs="Calibri"/>
          <w:color w:val="000000"/>
          <w:sz w:val="22"/>
          <w:szCs w:val="22"/>
        </w:rPr>
      </w:pPr>
    </w:p>
    <w:p w14:paraId="614DCC1D" w14:textId="0C6291E8" w:rsidR="009F58AE" w:rsidRPr="007C37A1" w:rsidRDefault="009F58AE" w:rsidP="002E217F">
      <w:pPr>
        <w:pBdr>
          <w:top w:val="nil"/>
          <w:left w:val="nil"/>
          <w:bottom w:val="nil"/>
          <w:right w:val="nil"/>
          <w:between w:val="nil"/>
        </w:pBdr>
        <w:rPr>
          <w:rFonts w:ascii="Montserrat" w:eastAsia="Calibri" w:hAnsi="Montserrat" w:cs="Calibri"/>
          <w:color w:val="000000"/>
          <w:sz w:val="22"/>
          <w:szCs w:val="22"/>
        </w:rPr>
      </w:pPr>
      <w:r>
        <w:rPr>
          <w:rFonts w:ascii="Montserrat" w:eastAsia="Calibri" w:hAnsi="Montserrat" w:cs="Calibri"/>
          <w:noProof/>
          <w:color w:val="000000"/>
          <w:sz w:val="22"/>
          <w:szCs w:val="22"/>
        </w:rPr>
        <w:drawing>
          <wp:inline distT="0" distB="0" distL="0" distR="0" wp14:anchorId="3C84225C" wp14:editId="559C4739">
            <wp:extent cx="6400800" cy="3600450"/>
            <wp:effectExtent l="0" t="0" r="0" b="6350"/>
            <wp:docPr id="2133740842" name="Picture 2" descr="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40842" name="Picture 2" descr="A diagram of a learning proces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2152E375" w14:textId="321C6E85" w:rsidR="000027C1" w:rsidRDefault="000027C1" w:rsidP="00594297">
      <w:pPr>
        <w:pStyle w:val="Heading3"/>
        <w:rPr>
          <w:rFonts w:ascii="Calibri" w:eastAsia="Calibri" w:hAnsi="Calibri" w:cs="Calibri"/>
          <w:color w:val="000000" w:themeColor="text1"/>
          <w:sz w:val="22"/>
          <w:szCs w:val="22"/>
        </w:rPr>
      </w:pPr>
      <w:r>
        <w:lastRenderedPageBreak/>
        <w:t>Foregrounding Student Learning</w:t>
      </w:r>
    </w:p>
    <w:p w14:paraId="7F6A051B" w14:textId="5AEBAD37" w:rsidR="000027C1" w:rsidRDefault="000027C1" w:rsidP="002E217F">
      <w:pPr>
        <w:pBdr>
          <w:top w:val="nil"/>
          <w:left w:val="nil"/>
          <w:bottom w:val="nil"/>
          <w:right w:val="nil"/>
          <w:between w:val="nil"/>
        </w:pBdr>
        <w:rPr>
          <w:rFonts w:ascii="Montserrat" w:eastAsia="Calibri" w:hAnsi="Montserrat" w:cs="Calibri"/>
          <w:color w:val="000000" w:themeColor="text1"/>
          <w:sz w:val="22"/>
          <w:szCs w:val="22"/>
        </w:rPr>
      </w:pPr>
      <w:r w:rsidRPr="00685C72">
        <w:rPr>
          <w:rFonts w:ascii="Montserrat" w:eastAsia="Calibri" w:hAnsi="Montserrat" w:cs="Calibri"/>
          <w:color w:val="000000" w:themeColor="text1"/>
          <w:sz w:val="22"/>
          <w:szCs w:val="22"/>
        </w:rPr>
        <w:t>Whereas the visual definition above is meant to be more comprehensive, some emphasize a single characteristic as most important, such Keith Trigwell and Suzanne Shale’s “</w:t>
      </w:r>
      <w:hyperlink r:id="rId8">
        <w:r w:rsidRPr="005569CF">
          <w:rPr>
            <w:rStyle w:val="Hyperlink"/>
          </w:rPr>
          <w:t>Student Learning and the Scholarship of Teaching and Learning</w:t>
        </w:r>
      </w:hyperlink>
      <w:r w:rsidRPr="00685C72">
        <w:rPr>
          <w:rFonts w:ascii="Montserrat" w:eastAsia="Calibri" w:hAnsi="Montserrat" w:cs="Calibri"/>
          <w:color w:val="000000" w:themeColor="text1"/>
          <w:sz w:val="22"/>
          <w:szCs w:val="22"/>
        </w:rPr>
        <w:t>” (2004). After reviewing some of the foundational definitions of SoTL, the authors develop their own to foreground student learning. </w:t>
      </w:r>
    </w:p>
    <w:p w14:paraId="728C777E" w14:textId="77777777" w:rsidR="009F58AE" w:rsidRDefault="009F58AE" w:rsidP="002E217F">
      <w:pPr>
        <w:pBdr>
          <w:top w:val="nil"/>
          <w:left w:val="nil"/>
          <w:bottom w:val="nil"/>
          <w:right w:val="nil"/>
          <w:between w:val="nil"/>
        </w:pBdr>
        <w:rPr>
          <w:rFonts w:ascii="Montserrat" w:eastAsia="Calibri" w:hAnsi="Montserrat" w:cs="Calibri"/>
          <w:color w:val="000000"/>
          <w:sz w:val="22"/>
          <w:szCs w:val="22"/>
        </w:rPr>
      </w:pPr>
    </w:p>
    <w:p w14:paraId="115B1DAC" w14:textId="562326E5" w:rsidR="00631086" w:rsidRDefault="00631086" w:rsidP="00594297">
      <w:pPr>
        <w:pStyle w:val="Heading3"/>
        <w:rPr>
          <w:rFonts w:ascii="Calibri" w:eastAsia="Calibri" w:hAnsi="Calibri" w:cs="Calibri"/>
          <w:color w:val="000000" w:themeColor="text1"/>
          <w:sz w:val="22"/>
          <w:szCs w:val="22"/>
        </w:rPr>
      </w:pPr>
      <w:r>
        <w:t>Principles of Good SoTL Practice</w:t>
      </w:r>
    </w:p>
    <w:p w14:paraId="35315342" w14:textId="09D51B66" w:rsidR="00631086" w:rsidRDefault="00631086" w:rsidP="002E217F">
      <w:pPr>
        <w:pBdr>
          <w:top w:val="nil"/>
          <w:left w:val="nil"/>
          <w:bottom w:val="nil"/>
          <w:right w:val="nil"/>
          <w:between w:val="nil"/>
        </w:pBdr>
        <w:rPr>
          <w:rFonts w:ascii="Montserrat" w:eastAsia="Calibri" w:hAnsi="Montserrat" w:cs="Calibri"/>
          <w:color w:val="000000" w:themeColor="text1"/>
          <w:sz w:val="22"/>
          <w:szCs w:val="22"/>
        </w:rPr>
      </w:pPr>
      <w:r w:rsidRPr="00685C72">
        <w:rPr>
          <w:rFonts w:ascii="Montserrat" w:eastAsia="Calibri" w:hAnsi="Montserrat" w:cs="Calibri"/>
          <w:color w:val="000000" w:themeColor="text1"/>
          <w:sz w:val="22"/>
          <w:szCs w:val="22"/>
        </w:rPr>
        <w:t>We can also better understand SoTL by looking at how it’s practiced. Peter’s “</w:t>
      </w:r>
      <w:hyperlink r:id="rId9">
        <w:r w:rsidRPr="005569CF">
          <w:rPr>
            <w:rStyle w:val="Hyperlink"/>
          </w:rPr>
          <w:t>Principles of Good Practice in SoTL</w:t>
        </w:r>
      </w:hyperlink>
      <w:r w:rsidRPr="00685C72">
        <w:rPr>
          <w:rFonts w:ascii="Montserrat" w:eastAsia="Calibri" w:hAnsi="Montserrat" w:cs="Calibri"/>
          <w:color w:val="000000" w:themeColor="text1"/>
          <w:sz w:val="22"/>
          <w:szCs w:val="22"/>
        </w:rPr>
        <w:t>” (Felten 2013) offers five defining features of effective SoTL that practitioners often cite as foundational to their understanding. </w:t>
      </w:r>
    </w:p>
    <w:p w14:paraId="1F262B00" w14:textId="77777777" w:rsidR="009F58AE" w:rsidRPr="00E0768F" w:rsidRDefault="009F58AE" w:rsidP="002E217F">
      <w:pPr>
        <w:pBdr>
          <w:top w:val="nil"/>
          <w:left w:val="nil"/>
          <w:bottom w:val="nil"/>
          <w:right w:val="nil"/>
          <w:between w:val="nil"/>
        </w:pBdr>
        <w:rPr>
          <w:rFonts w:ascii="Montserrat" w:eastAsia="Calibri" w:hAnsi="Montserrat" w:cs="Calibri"/>
          <w:color w:val="000000"/>
          <w:sz w:val="22"/>
          <w:szCs w:val="22"/>
        </w:rPr>
      </w:pPr>
    </w:p>
    <w:p w14:paraId="4053D0BC" w14:textId="12B907D0" w:rsidR="00631086" w:rsidRDefault="00631086" w:rsidP="00594297">
      <w:pPr>
        <w:pStyle w:val="Heading3"/>
        <w:rPr>
          <w:rFonts w:ascii="Calibri" w:eastAsia="Calibri" w:hAnsi="Calibri" w:cs="Calibri"/>
          <w:color w:val="000000" w:themeColor="text1"/>
          <w:sz w:val="22"/>
          <w:szCs w:val="22"/>
        </w:rPr>
      </w:pPr>
      <w:r>
        <w:t>Distinguishing SoTL from Scholarly Teaching</w:t>
      </w:r>
    </w:p>
    <w:p w14:paraId="22D9A747" w14:textId="165E8153" w:rsidR="00631086" w:rsidRDefault="00631086" w:rsidP="002E217F">
      <w:pPr>
        <w:pBdr>
          <w:top w:val="nil"/>
          <w:left w:val="nil"/>
          <w:bottom w:val="nil"/>
          <w:right w:val="nil"/>
          <w:between w:val="nil"/>
        </w:pBdr>
        <w:rPr>
          <w:rFonts w:ascii="Montserrat" w:eastAsia="Calibri" w:hAnsi="Montserrat" w:cs="Calibri"/>
          <w:color w:val="000000" w:themeColor="text1"/>
          <w:sz w:val="22"/>
          <w:szCs w:val="22"/>
        </w:rPr>
      </w:pPr>
      <w:r w:rsidRPr="00685C72">
        <w:rPr>
          <w:rFonts w:ascii="Montserrat" w:eastAsia="Calibri" w:hAnsi="Montserrat" w:cs="Calibri"/>
          <w:color w:val="000000" w:themeColor="text1"/>
          <w:sz w:val="22"/>
          <w:szCs w:val="22"/>
        </w:rPr>
        <w:t>SoTL is commonly defined by distinguishing it from scholarly teaching, as in Michael K. Potter and Erika D.H. Kustra’</w:t>
      </w:r>
      <w:r w:rsidRPr="00685C72">
        <w:rPr>
          <w:rFonts w:ascii="Montserrat" w:eastAsia="Calibri" w:hAnsi="Montserrat" w:cs="Calibri"/>
          <w:color w:val="222222"/>
          <w:sz w:val="22"/>
          <w:szCs w:val="22"/>
          <w:highlight w:val="white"/>
        </w:rPr>
        <w:t>s “</w:t>
      </w:r>
      <w:r w:rsidRPr="005569CF">
        <w:rPr>
          <w:rStyle w:val="Hyperlink"/>
          <w:highlight w:val="white"/>
        </w:rPr>
        <w:t>The Relationship between Scholarly Teaching and SoTL: Models, Distinctions, and Clarifications</w:t>
      </w:r>
      <w:r w:rsidR="005569CF">
        <w:rPr>
          <w:rFonts w:ascii="Montserrat" w:eastAsia="Calibri" w:hAnsi="Montserrat" w:cs="Calibri"/>
          <w:color w:val="000000" w:themeColor="text1"/>
          <w:sz w:val="22"/>
          <w:szCs w:val="22"/>
        </w:rPr>
        <w:t>” (</w:t>
      </w:r>
      <w:r w:rsidRPr="00685C72">
        <w:rPr>
          <w:rFonts w:ascii="Montserrat" w:eastAsia="Calibri" w:hAnsi="Montserrat" w:cs="Calibri"/>
          <w:color w:val="000000" w:themeColor="text1"/>
          <w:sz w:val="22"/>
          <w:szCs w:val="22"/>
        </w:rPr>
        <w:t>2011).</w:t>
      </w:r>
    </w:p>
    <w:p w14:paraId="0A49B562" w14:textId="77777777" w:rsidR="009F58AE" w:rsidRPr="00E0768F" w:rsidRDefault="009F58AE" w:rsidP="002E217F">
      <w:pPr>
        <w:pBdr>
          <w:top w:val="nil"/>
          <w:left w:val="nil"/>
          <w:bottom w:val="nil"/>
          <w:right w:val="nil"/>
          <w:between w:val="nil"/>
        </w:pBdr>
        <w:rPr>
          <w:rFonts w:ascii="Montserrat" w:eastAsia="Calibri" w:hAnsi="Montserrat" w:cs="Calibri"/>
          <w:color w:val="000000"/>
          <w:sz w:val="22"/>
          <w:szCs w:val="22"/>
        </w:rPr>
      </w:pPr>
    </w:p>
    <w:p w14:paraId="12F30558" w14:textId="5D6915F5" w:rsidR="00631086" w:rsidRDefault="00631086" w:rsidP="00594297">
      <w:pPr>
        <w:pStyle w:val="Heading3"/>
        <w:rPr>
          <w:rFonts w:ascii="Calibri" w:eastAsia="Calibri" w:hAnsi="Calibri" w:cs="Calibri"/>
          <w:color w:val="000000" w:themeColor="text1"/>
          <w:sz w:val="22"/>
          <w:szCs w:val="22"/>
        </w:rPr>
      </w:pPr>
      <w:r>
        <w:t>Defining SoTL in Context</w:t>
      </w:r>
    </w:p>
    <w:p w14:paraId="1020BD70" w14:textId="77777777" w:rsidR="00631086" w:rsidRDefault="00631086" w:rsidP="002E217F">
      <w:pPr>
        <w:pBdr>
          <w:top w:val="nil"/>
          <w:left w:val="nil"/>
          <w:bottom w:val="nil"/>
          <w:right w:val="nil"/>
          <w:between w:val="nil"/>
        </w:pBdr>
        <w:rPr>
          <w:rFonts w:ascii="Montserrat" w:eastAsia="Calibri" w:hAnsi="Montserrat" w:cs="Calibri"/>
          <w:color w:val="000000" w:themeColor="text1"/>
          <w:sz w:val="22"/>
          <w:szCs w:val="22"/>
        </w:rPr>
      </w:pPr>
      <w:r w:rsidRPr="00784241">
        <w:rPr>
          <w:rFonts w:ascii="Montserrat" w:eastAsia="Calibri" w:hAnsi="Montserrat" w:cs="Calibri"/>
          <w:color w:val="222222"/>
          <w:sz w:val="22"/>
          <w:szCs w:val="22"/>
          <w:highlight w:val="white"/>
        </w:rPr>
        <w:t>As you’ll see throughout The SoTL Guide, context matters in SoTL, which applies to individual SoTL projects as well as how SoTL is broadly understood. An example of the latter is found in Michael Anthony Samuel’s “</w:t>
      </w:r>
      <w:hyperlink r:id="rId10">
        <w:r w:rsidRPr="005569CF">
          <w:rPr>
            <w:rStyle w:val="Hyperlink"/>
            <w:highlight w:val="white"/>
          </w:rPr>
          <w:t>Developing a Syntax for SOTL</w:t>
        </w:r>
      </w:hyperlink>
      <w:r w:rsidRPr="00784241">
        <w:rPr>
          <w:rFonts w:ascii="Montserrat" w:eastAsia="Calibri" w:hAnsi="Montserrat" w:cs="Calibri"/>
          <w:color w:val="222222"/>
          <w:sz w:val="22"/>
          <w:szCs w:val="22"/>
          <w:highlight w:val="white"/>
        </w:rPr>
        <w:t xml:space="preserve">” </w:t>
      </w:r>
      <w:r w:rsidRPr="00784241">
        <w:rPr>
          <w:rFonts w:ascii="Montserrat" w:eastAsia="Calibri" w:hAnsi="Montserrat" w:cs="Calibri"/>
          <w:color w:val="000000" w:themeColor="text1"/>
          <w:sz w:val="22"/>
          <w:szCs w:val="22"/>
        </w:rPr>
        <w:t xml:space="preserve">(2017), which describes SoTL as </w:t>
      </w:r>
      <w:proofErr w:type="spellStart"/>
      <w:r w:rsidRPr="00784241">
        <w:rPr>
          <w:rFonts w:ascii="Montserrat" w:eastAsia="Calibri" w:hAnsi="Montserrat" w:cs="Calibri"/>
          <w:color w:val="000000" w:themeColor="text1"/>
          <w:sz w:val="22"/>
          <w:szCs w:val="22"/>
        </w:rPr>
        <w:t>it’s</w:t>
      </w:r>
      <w:proofErr w:type="spellEnd"/>
      <w:r w:rsidRPr="00784241">
        <w:rPr>
          <w:rFonts w:ascii="Montserrat" w:eastAsia="Calibri" w:hAnsi="Montserrat" w:cs="Calibri"/>
          <w:color w:val="000000" w:themeColor="text1"/>
          <w:sz w:val="22"/>
          <w:szCs w:val="22"/>
        </w:rPr>
        <w:t xml:space="preserve"> practiced in the southern hemisphere by—like Potter and Kustra—first distinguishing it from scholarly teaching and then emphasizing its explicit response to what’s happening in the world beyond the university. </w:t>
      </w:r>
    </w:p>
    <w:p w14:paraId="0D578EE6"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0CA57062"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2494CB99"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4A6A9C2C"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588194BD"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2DFF3DBC"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20D71D2E"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1AD98905"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554BD7EA"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7AA04495" w14:textId="77777777" w:rsidR="009F58AE" w:rsidRDefault="009F58AE" w:rsidP="002E217F">
      <w:pPr>
        <w:pBdr>
          <w:top w:val="nil"/>
          <w:left w:val="nil"/>
          <w:bottom w:val="nil"/>
          <w:right w:val="nil"/>
          <w:between w:val="nil"/>
        </w:pBdr>
        <w:rPr>
          <w:rFonts w:ascii="Montserrat" w:eastAsia="Calibri" w:hAnsi="Montserrat" w:cs="Calibri"/>
          <w:color w:val="000000" w:themeColor="text1"/>
          <w:sz w:val="22"/>
          <w:szCs w:val="22"/>
        </w:rPr>
      </w:pPr>
    </w:p>
    <w:p w14:paraId="0B5977AA" w14:textId="77777777" w:rsidR="009F58AE" w:rsidRPr="00784241" w:rsidRDefault="009F58AE" w:rsidP="002E217F">
      <w:pPr>
        <w:pBdr>
          <w:top w:val="nil"/>
          <w:left w:val="nil"/>
          <w:bottom w:val="nil"/>
          <w:right w:val="nil"/>
          <w:between w:val="nil"/>
        </w:pBdr>
        <w:rPr>
          <w:rFonts w:ascii="Montserrat" w:eastAsia="Calibri" w:hAnsi="Montserrat" w:cs="Calibri"/>
          <w:color w:val="000000"/>
          <w:sz w:val="22"/>
          <w:szCs w:val="22"/>
        </w:rPr>
      </w:pPr>
    </w:p>
    <w:p w14:paraId="0E0F889F" w14:textId="77777777" w:rsidR="009F58AE" w:rsidRDefault="009F58AE" w:rsidP="00AC2C5A">
      <w:pPr>
        <w:pStyle w:val="Heading2"/>
      </w:pPr>
    </w:p>
    <w:p w14:paraId="51CACEF2" w14:textId="356F68AD" w:rsidR="00B2173C" w:rsidRPr="00AC2C5A" w:rsidRDefault="00B2173C" w:rsidP="00AC2C5A">
      <w:pPr>
        <w:pStyle w:val="Heading2"/>
        <w:rPr>
          <w:rFonts w:ascii="Calibri" w:eastAsia="Calibri" w:hAnsi="Calibri" w:cs="Calibri"/>
        </w:rPr>
      </w:pPr>
      <w:r w:rsidRPr="00AC2C5A">
        <w:lastRenderedPageBreak/>
        <w:t>Charting Your Analysis</w:t>
      </w:r>
    </w:p>
    <w:p w14:paraId="6C7205F5" w14:textId="77777777" w:rsidR="00B2173C" w:rsidRPr="0016732E" w:rsidRDefault="00B2173C" w:rsidP="002E217F">
      <w:pPr>
        <w:rPr>
          <w:rFonts w:ascii="Montserrat" w:eastAsia="Calibri" w:hAnsi="Montserrat" w:cs="Calibri"/>
          <w:sz w:val="22"/>
          <w:szCs w:val="22"/>
        </w:rPr>
      </w:pPr>
      <w:r w:rsidRPr="0016732E">
        <w:rPr>
          <w:rFonts w:ascii="Montserrat" w:eastAsia="Calibri" w:hAnsi="Montserrat" w:cs="Calibri"/>
          <w:sz w:val="22"/>
          <w:szCs w:val="22"/>
        </w:rPr>
        <w:t>Below is a matrix for you to chart your observations of these definitions. We’ve left the column headings blank, so you’re able to map your own observations, but if you need a place to start, here are some possibilities:</w:t>
      </w:r>
    </w:p>
    <w:p w14:paraId="6D5B855B"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sz w:val="22"/>
          <w:szCs w:val="22"/>
        </w:rPr>
        <w:t>Overlaps</w:t>
      </w:r>
      <w:r w:rsidRPr="0016732E">
        <w:rPr>
          <w:rFonts w:ascii="Montserrat" w:eastAsia="Calibri" w:hAnsi="Montserrat" w:cs="Calibri"/>
          <w:color w:val="000000"/>
          <w:sz w:val="22"/>
          <w:szCs w:val="22"/>
        </w:rPr>
        <w:t xml:space="preserve"> (points of agreements), </w:t>
      </w:r>
      <w:r w:rsidRPr="0016732E">
        <w:rPr>
          <w:rFonts w:ascii="Montserrat SemiBold" w:eastAsia="Calibri" w:hAnsi="Montserrat SemiBold" w:cs="Calibri"/>
          <w:b/>
          <w:bCs/>
          <w:color w:val="000000"/>
          <w:sz w:val="22"/>
          <w:szCs w:val="22"/>
        </w:rPr>
        <w:t>Complements</w:t>
      </w:r>
      <w:r w:rsidRPr="0016732E">
        <w:rPr>
          <w:rFonts w:ascii="Montserrat" w:eastAsia="Calibri" w:hAnsi="Montserrat" w:cs="Calibri"/>
          <w:color w:val="000000"/>
          <w:sz w:val="22"/>
          <w:szCs w:val="22"/>
        </w:rPr>
        <w:t xml:space="preserve"> (outlying or unique points not reflected in other definitions), </w:t>
      </w:r>
      <w:r w:rsidRPr="0016732E">
        <w:rPr>
          <w:rFonts w:ascii="Montserrat SemiBold" w:eastAsia="Calibri" w:hAnsi="Montserrat SemiBold" w:cs="Calibri"/>
          <w:b/>
          <w:bCs/>
          <w:color w:val="000000"/>
          <w:sz w:val="22"/>
          <w:szCs w:val="22"/>
        </w:rPr>
        <w:t>Contrasts</w:t>
      </w:r>
      <w:r w:rsidRPr="0016732E">
        <w:rPr>
          <w:rFonts w:ascii="Montserrat" w:eastAsia="Calibri" w:hAnsi="Montserrat" w:cs="Calibri"/>
          <w:color w:val="000000"/>
          <w:sz w:val="22"/>
          <w:szCs w:val="22"/>
        </w:rPr>
        <w:t xml:space="preserve"> (points of disagreement)</w:t>
      </w:r>
    </w:p>
    <w:p w14:paraId="6B17EFEA"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sz w:val="22"/>
          <w:szCs w:val="22"/>
        </w:rPr>
        <w:t>Who</w:t>
      </w:r>
      <w:r w:rsidRPr="0016732E">
        <w:rPr>
          <w:rFonts w:ascii="Montserrat" w:eastAsia="Calibri" w:hAnsi="Montserrat" w:cs="Calibri"/>
          <w:color w:val="000000"/>
          <w:sz w:val="22"/>
          <w:szCs w:val="22"/>
        </w:rPr>
        <w:t xml:space="preserve"> (who practices SoTL), </w:t>
      </w:r>
      <w:r w:rsidRPr="0016732E">
        <w:rPr>
          <w:rFonts w:ascii="Montserrat SemiBold" w:eastAsia="Calibri" w:hAnsi="Montserrat SemiBold" w:cs="Calibri"/>
          <w:b/>
          <w:bCs/>
          <w:color w:val="000000"/>
          <w:sz w:val="22"/>
          <w:szCs w:val="22"/>
        </w:rPr>
        <w:t>How</w:t>
      </w:r>
      <w:r w:rsidRPr="0016732E">
        <w:rPr>
          <w:rFonts w:ascii="Montserrat" w:eastAsia="Calibri" w:hAnsi="Montserrat" w:cs="Calibri"/>
          <w:color w:val="000000"/>
          <w:sz w:val="22"/>
          <w:szCs w:val="22"/>
        </w:rPr>
        <w:t xml:space="preserve"> (its approach and processes), </w:t>
      </w:r>
      <w:r w:rsidRPr="0016732E">
        <w:rPr>
          <w:rFonts w:ascii="Montserrat" w:eastAsia="Calibri" w:hAnsi="Montserrat" w:cs="Calibri"/>
          <w:b/>
          <w:color w:val="000000"/>
          <w:sz w:val="22"/>
          <w:szCs w:val="22"/>
        </w:rPr>
        <w:t>Where</w:t>
      </w:r>
      <w:r w:rsidRPr="0016732E">
        <w:rPr>
          <w:rFonts w:ascii="Montserrat" w:eastAsia="Calibri" w:hAnsi="Montserrat" w:cs="Calibri"/>
          <w:color w:val="000000"/>
          <w:sz w:val="22"/>
          <w:szCs w:val="22"/>
        </w:rPr>
        <w:t xml:space="preserve"> (its context, scale), </w:t>
      </w:r>
      <w:r w:rsidRPr="0016732E">
        <w:rPr>
          <w:rFonts w:ascii="Montserrat SemiBold" w:eastAsia="Calibri" w:hAnsi="Montserrat SemiBold" w:cs="Calibri"/>
          <w:b/>
          <w:bCs/>
          <w:color w:val="000000"/>
          <w:sz w:val="22"/>
          <w:szCs w:val="22"/>
        </w:rPr>
        <w:t>Why</w:t>
      </w:r>
      <w:r w:rsidRPr="0016732E">
        <w:rPr>
          <w:rFonts w:ascii="Montserrat" w:eastAsia="Calibri" w:hAnsi="Montserrat" w:cs="Calibri"/>
          <w:color w:val="000000"/>
          <w:sz w:val="22"/>
          <w:szCs w:val="22"/>
        </w:rPr>
        <w:t xml:space="preserve"> (its goals)</w:t>
      </w:r>
    </w:p>
    <w:p w14:paraId="105BC797"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sz w:val="22"/>
          <w:szCs w:val="22"/>
        </w:rPr>
        <w:t>Points of Consensus</w:t>
      </w:r>
      <w:r w:rsidRPr="0016732E">
        <w:rPr>
          <w:rFonts w:ascii="Montserrat" w:eastAsia="Calibri" w:hAnsi="Montserrat" w:cs="Calibri"/>
          <w:b/>
          <w:color w:val="000000"/>
          <w:sz w:val="22"/>
          <w:szCs w:val="22"/>
        </w:rPr>
        <w:t xml:space="preserve"> </w:t>
      </w:r>
      <w:r w:rsidRPr="0016732E">
        <w:rPr>
          <w:rFonts w:ascii="Montserrat" w:eastAsia="Calibri" w:hAnsi="Montserrat" w:cs="Calibri"/>
          <w:color w:val="000000"/>
          <w:sz w:val="22"/>
          <w:szCs w:val="22"/>
        </w:rPr>
        <w:t xml:space="preserve">(what points do they all agree on, and what do they say </w:t>
      </w:r>
      <w:r w:rsidRPr="0016732E">
        <w:rPr>
          <w:rFonts w:ascii="Montserrat" w:eastAsia="Calibri" w:hAnsi="Montserrat" w:cs="Calibri"/>
          <w:i/>
          <w:color w:val="000000"/>
          <w:sz w:val="22"/>
          <w:szCs w:val="22"/>
        </w:rPr>
        <w:t>specifically</w:t>
      </w:r>
      <w:r w:rsidRPr="0016732E">
        <w:rPr>
          <w:rFonts w:ascii="Montserrat" w:eastAsia="Calibri" w:hAnsi="Montserrat" w:cs="Calibri"/>
          <w:color w:val="000000"/>
          <w:sz w:val="22"/>
          <w:szCs w:val="22"/>
        </w:rPr>
        <w:t xml:space="preserve"> about each of these points?)</w:t>
      </w:r>
    </w:p>
    <w:p w14:paraId="2C04AEC5" w14:textId="77777777" w:rsidR="00B2173C" w:rsidRPr="0016732E" w:rsidRDefault="00B2173C" w:rsidP="002E217F">
      <w:pPr>
        <w:numPr>
          <w:ilvl w:val="0"/>
          <w:numId w:val="1"/>
        </w:numPr>
        <w:pBdr>
          <w:top w:val="nil"/>
          <w:left w:val="nil"/>
          <w:bottom w:val="nil"/>
          <w:right w:val="nil"/>
          <w:between w:val="nil"/>
        </w:pBdr>
        <w:rPr>
          <w:rFonts w:ascii="Montserrat" w:eastAsia="Calibri" w:hAnsi="Montserrat" w:cs="Calibri"/>
          <w:color w:val="000000"/>
          <w:sz w:val="22"/>
          <w:szCs w:val="22"/>
        </w:rPr>
      </w:pPr>
      <w:r w:rsidRPr="0016732E">
        <w:rPr>
          <w:rFonts w:ascii="Montserrat SemiBold" w:eastAsia="Calibri" w:hAnsi="Montserrat SemiBold" w:cs="Calibri"/>
          <w:b/>
          <w:bCs/>
          <w:color w:val="000000" w:themeColor="text1"/>
          <w:sz w:val="22"/>
          <w:szCs w:val="22"/>
        </w:rPr>
        <w:t>Implications for My Practice</w:t>
      </w:r>
      <w:r w:rsidRPr="0016732E">
        <w:rPr>
          <w:rFonts w:ascii="Montserrat" w:eastAsia="Calibri" w:hAnsi="Montserrat" w:cs="Calibri"/>
          <w:b/>
          <w:bCs/>
          <w:color w:val="000000" w:themeColor="text1"/>
          <w:sz w:val="22"/>
          <w:szCs w:val="22"/>
        </w:rPr>
        <w:t xml:space="preserve"> </w:t>
      </w:r>
      <w:r w:rsidRPr="0016732E">
        <w:rPr>
          <w:rFonts w:ascii="Montserrat" w:eastAsia="Calibri" w:hAnsi="Montserrat" w:cs="Calibri"/>
          <w:color w:val="000000" w:themeColor="text1"/>
          <w:sz w:val="22"/>
          <w:szCs w:val="22"/>
        </w:rPr>
        <w:t>(What components or steps will you want to apply, and what’s the specific guidance from each?)</w:t>
      </w:r>
    </w:p>
    <w:p w14:paraId="167EC8DE" w14:textId="77777777" w:rsidR="0016732E" w:rsidRPr="0016732E" w:rsidRDefault="0016732E" w:rsidP="0016732E">
      <w:pPr>
        <w:pBdr>
          <w:top w:val="nil"/>
          <w:left w:val="nil"/>
          <w:bottom w:val="nil"/>
          <w:right w:val="nil"/>
          <w:between w:val="nil"/>
        </w:pBdr>
        <w:spacing w:line="240" w:lineRule="auto"/>
        <w:rPr>
          <w:rFonts w:ascii="Montserrat" w:eastAsia="Calibri" w:hAnsi="Montserrat" w:cs="Calibri"/>
          <w:color w:val="000000"/>
          <w:sz w:val="22"/>
          <w:szCs w:val="22"/>
        </w:rPr>
      </w:pPr>
    </w:p>
    <w:tbl>
      <w:tblPr>
        <w:tblW w:w="100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795"/>
        <w:gridCol w:w="1796"/>
        <w:gridCol w:w="1611"/>
        <w:gridCol w:w="1611"/>
        <w:gridCol w:w="1611"/>
        <w:gridCol w:w="1611"/>
      </w:tblGrid>
      <w:tr w:rsidR="009F4432" w14:paraId="4319E292" w14:textId="77777777" w:rsidTr="00E00E00">
        <w:trPr>
          <w:trHeight w:val="575"/>
        </w:trPr>
        <w:tc>
          <w:tcPr>
            <w:tcW w:w="1795" w:type="dxa"/>
          </w:tcPr>
          <w:p w14:paraId="1F184BC1" w14:textId="77777777" w:rsidR="009F4432" w:rsidRPr="00E00E00" w:rsidRDefault="009F4432" w:rsidP="009F4432">
            <w:pPr>
              <w:pBdr>
                <w:top w:val="nil"/>
                <w:left w:val="nil"/>
                <w:bottom w:val="nil"/>
                <w:right w:val="nil"/>
                <w:between w:val="nil"/>
              </w:pBdr>
              <w:spacing w:line="240" w:lineRule="auto"/>
              <w:rPr>
                <w:rFonts w:ascii="Montserrat" w:eastAsia="Calibri" w:hAnsi="Montserrat" w:cs="Calibri"/>
                <w:b/>
                <w:color w:val="000000"/>
                <w:sz w:val="21"/>
                <w:szCs w:val="21"/>
              </w:rPr>
            </w:pPr>
            <w:r w:rsidRPr="00E00E00">
              <w:rPr>
                <w:rFonts w:ascii="Montserrat" w:eastAsia="Calibri" w:hAnsi="Montserrat" w:cs="Calibri"/>
                <w:b/>
                <w:color w:val="000000"/>
                <w:sz w:val="21"/>
                <w:szCs w:val="21"/>
              </w:rPr>
              <w:t>Source</w:t>
            </w:r>
          </w:p>
        </w:tc>
        <w:tc>
          <w:tcPr>
            <w:tcW w:w="1796" w:type="dxa"/>
          </w:tcPr>
          <w:p w14:paraId="021EEC74" w14:textId="21C1850C"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7761E099" w14:textId="09B5A5E3"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00F25236" w14:textId="236975D3"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6B4898FD" w14:textId="0DAABC0B"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c>
          <w:tcPr>
            <w:tcW w:w="1611" w:type="dxa"/>
          </w:tcPr>
          <w:p w14:paraId="5B2204AA" w14:textId="0B819A3D" w:rsidR="009F4432" w:rsidRPr="009F4432" w:rsidRDefault="009F4432" w:rsidP="009F4432">
            <w:pPr>
              <w:pBdr>
                <w:top w:val="nil"/>
                <w:left w:val="nil"/>
                <w:bottom w:val="nil"/>
                <w:right w:val="nil"/>
                <w:between w:val="nil"/>
              </w:pBdr>
              <w:spacing w:line="240" w:lineRule="auto"/>
              <w:jc w:val="center"/>
              <w:rPr>
                <w:rFonts w:ascii="Montserrat Medium" w:eastAsia="Calibri" w:hAnsi="Montserrat Medium" w:cs="Calibri"/>
                <w:color w:val="000000"/>
                <w:sz w:val="18"/>
                <w:szCs w:val="18"/>
              </w:rPr>
            </w:pPr>
            <w:r w:rsidRPr="009F4432">
              <w:rPr>
                <w:rFonts w:ascii="Montserrat Medium" w:eastAsia="Calibri" w:hAnsi="Montserrat Medium" w:cs="Calibri"/>
                <w:color w:val="000000" w:themeColor="text1"/>
                <w:sz w:val="18"/>
                <w:szCs w:val="18"/>
              </w:rPr>
              <w:t>[Your Heading]</w:t>
            </w:r>
          </w:p>
        </w:tc>
      </w:tr>
      <w:tr w:rsidR="00693F9C" w14:paraId="04A22D89" w14:textId="77777777" w:rsidTr="009F58AE">
        <w:trPr>
          <w:trHeight w:val="1484"/>
        </w:trPr>
        <w:tc>
          <w:tcPr>
            <w:tcW w:w="1795" w:type="dxa"/>
          </w:tcPr>
          <w:p w14:paraId="5315DBB2"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 xml:space="preserve">1. Chick’s Visual Definition </w:t>
            </w:r>
          </w:p>
          <w:p w14:paraId="089A21A5"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p w14:paraId="1C097296"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317DAE73"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3D9A2FF8"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5F2F0DCA"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2B30F047"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0F7E8AD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4F8AD54D" w14:textId="77777777" w:rsidTr="00E00E00">
        <w:tc>
          <w:tcPr>
            <w:tcW w:w="1795" w:type="dxa"/>
          </w:tcPr>
          <w:p w14:paraId="5CB98DCD"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2. Trigwell and Shale’s Focused Definition</w:t>
            </w:r>
          </w:p>
          <w:p w14:paraId="5581D1A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p w14:paraId="7055E2B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29E86765"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53D35566"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6D7FFD5F"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6228251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3924B043"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53A47D2C" w14:textId="77777777" w:rsidTr="009F58AE">
        <w:trPr>
          <w:trHeight w:val="1529"/>
        </w:trPr>
        <w:tc>
          <w:tcPr>
            <w:tcW w:w="1795" w:type="dxa"/>
          </w:tcPr>
          <w:p w14:paraId="1C25D872"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3. Felten’s Principles of Practice</w:t>
            </w:r>
          </w:p>
          <w:p w14:paraId="72ED4F59"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p w14:paraId="150A038B"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3C36A8D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17F8F710"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452ACCF2"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1605393B"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617153B0"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5DD3EBE1" w14:textId="77777777" w:rsidTr="009F58AE">
        <w:trPr>
          <w:trHeight w:val="1331"/>
        </w:trPr>
        <w:tc>
          <w:tcPr>
            <w:tcW w:w="1795" w:type="dxa"/>
          </w:tcPr>
          <w:p w14:paraId="2A1403A6" w14:textId="4CAFB31B" w:rsidR="004E16FF"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r w:rsidRPr="00E00E00">
              <w:rPr>
                <w:rFonts w:ascii="Montserrat" w:eastAsia="Calibri" w:hAnsi="Montserrat" w:cs="Calibri"/>
                <w:color w:val="000000"/>
                <w:sz w:val="21"/>
                <w:szCs w:val="21"/>
              </w:rPr>
              <w:t>4. Potter and Kustra’s Distinction</w:t>
            </w:r>
          </w:p>
          <w:p w14:paraId="5DFE5455"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796" w:type="dxa"/>
          </w:tcPr>
          <w:p w14:paraId="00F63B04"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0142BEC8"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789DA637"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52FE9416"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c>
          <w:tcPr>
            <w:tcW w:w="1611" w:type="dxa"/>
          </w:tcPr>
          <w:p w14:paraId="0B83E424"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1"/>
                <w:szCs w:val="21"/>
              </w:rPr>
            </w:pPr>
          </w:p>
        </w:tc>
      </w:tr>
      <w:tr w:rsidR="00693F9C" w14:paraId="424AAF70" w14:textId="77777777" w:rsidTr="009F58AE">
        <w:trPr>
          <w:trHeight w:val="1529"/>
        </w:trPr>
        <w:tc>
          <w:tcPr>
            <w:tcW w:w="1795" w:type="dxa"/>
          </w:tcPr>
          <w:p w14:paraId="61D5064A" w14:textId="77777777" w:rsidR="00693F9C"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r w:rsidRPr="00E00E00">
              <w:rPr>
                <w:rFonts w:ascii="Montserrat" w:eastAsia="Calibri" w:hAnsi="Montserrat" w:cs="Calibri"/>
                <w:color w:val="000000"/>
                <w:sz w:val="22"/>
                <w:szCs w:val="22"/>
              </w:rPr>
              <w:t>5. Samuel’s SoTL in the Southern Hemisphere</w:t>
            </w:r>
          </w:p>
          <w:p w14:paraId="5A566559" w14:textId="2F5BB827" w:rsidR="00594297" w:rsidRPr="00E00E00" w:rsidRDefault="00594297"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796" w:type="dxa"/>
          </w:tcPr>
          <w:p w14:paraId="3F7AF88D"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6B9DFE4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2731E24F"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3FC3C0CC"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c>
          <w:tcPr>
            <w:tcW w:w="1611" w:type="dxa"/>
          </w:tcPr>
          <w:p w14:paraId="53C8329E" w14:textId="77777777" w:rsidR="00693F9C" w:rsidRPr="00E00E00" w:rsidRDefault="00693F9C" w:rsidP="00172000">
            <w:pPr>
              <w:pBdr>
                <w:top w:val="nil"/>
                <w:left w:val="nil"/>
                <w:bottom w:val="nil"/>
                <w:right w:val="nil"/>
                <w:between w:val="nil"/>
              </w:pBdr>
              <w:spacing w:line="240" w:lineRule="auto"/>
              <w:rPr>
                <w:rFonts w:ascii="Montserrat" w:eastAsia="Calibri" w:hAnsi="Montserrat" w:cs="Calibri"/>
                <w:color w:val="000000"/>
                <w:sz w:val="22"/>
                <w:szCs w:val="22"/>
              </w:rPr>
            </w:pPr>
          </w:p>
        </w:tc>
      </w:tr>
    </w:tbl>
    <w:p w14:paraId="45E3ADC3" w14:textId="02506970" w:rsidR="00171787" w:rsidRPr="00AC2C5A" w:rsidRDefault="00AC2C5A" w:rsidP="00AC2C5A">
      <w:pPr>
        <w:pStyle w:val="Heading2"/>
        <w:rPr>
          <w:rFonts w:ascii="Calibri" w:eastAsia="Calibri" w:hAnsi="Calibri" w:cs="Calibri"/>
        </w:rPr>
      </w:pPr>
      <w:r>
        <w:lastRenderedPageBreak/>
        <w:t>References</w:t>
      </w:r>
    </w:p>
    <w:p w14:paraId="07C7AF9F" w14:textId="77777777" w:rsidR="00AC2C5A" w:rsidRPr="00E00E00" w:rsidRDefault="00AC2C5A" w:rsidP="00E00E00">
      <w:pPr>
        <w:spacing w:line="240" w:lineRule="auto"/>
        <w:ind w:left="720" w:hanging="720"/>
        <w:rPr>
          <w:rFonts w:ascii="Montserrat" w:eastAsia="Calibri" w:hAnsi="Montserrat" w:cs="Calibri"/>
          <w:color w:val="000000"/>
          <w:sz w:val="21"/>
          <w:szCs w:val="21"/>
        </w:rPr>
      </w:pPr>
      <w:r w:rsidRPr="00E00E00">
        <w:rPr>
          <w:rFonts w:ascii="Montserrat" w:eastAsia="Calibri" w:hAnsi="Montserrat" w:cs="Calibri"/>
          <w:color w:val="000000"/>
          <w:sz w:val="21"/>
          <w:szCs w:val="21"/>
        </w:rPr>
        <w:t xml:space="preserve">Chick, Nancy L. 2020. “A Visual Definition of SoTL.” </w:t>
      </w:r>
    </w:p>
    <w:p w14:paraId="12A91119" w14:textId="77777777" w:rsidR="00AC2C5A" w:rsidRPr="00E00E00" w:rsidRDefault="00AC2C5A" w:rsidP="002E217F">
      <w:pPr>
        <w:spacing w:line="240" w:lineRule="auto"/>
        <w:rPr>
          <w:rFonts w:ascii="Montserrat" w:eastAsia="Calibri" w:hAnsi="Montserrat" w:cs="Calibri"/>
          <w:color w:val="000000"/>
          <w:sz w:val="21"/>
          <w:szCs w:val="21"/>
        </w:rPr>
      </w:pPr>
    </w:p>
    <w:p w14:paraId="7B01B79B" w14:textId="77777777" w:rsidR="00AC2C5A" w:rsidRPr="00E00E00" w:rsidRDefault="00AC2C5A" w:rsidP="00E00E00">
      <w:pPr>
        <w:spacing w:line="240" w:lineRule="auto"/>
        <w:ind w:left="720" w:hanging="720"/>
        <w:rPr>
          <w:rFonts w:ascii="Montserrat" w:eastAsia="Calibri" w:hAnsi="Montserrat" w:cs="Calibri"/>
          <w:color w:val="000000"/>
          <w:sz w:val="21"/>
          <w:szCs w:val="21"/>
        </w:rPr>
      </w:pPr>
      <w:r w:rsidRPr="00E00E00">
        <w:rPr>
          <w:rFonts w:ascii="Montserrat" w:eastAsia="Calibri" w:hAnsi="Montserrat" w:cs="Calibri"/>
          <w:color w:val="000000"/>
          <w:sz w:val="21"/>
          <w:szCs w:val="21"/>
        </w:rPr>
        <w:t xml:space="preserve">Felten, Peter. 2013. “Principles of Good Practice in SoTL.” </w:t>
      </w:r>
      <w:r w:rsidRPr="00E00E00">
        <w:rPr>
          <w:rFonts w:ascii="Montserrat" w:eastAsia="Calibri" w:hAnsi="Montserrat" w:cs="Calibri"/>
          <w:i/>
          <w:color w:val="000000"/>
          <w:sz w:val="21"/>
          <w:szCs w:val="21"/>
        </w:rPr>
        <w:t>Teaching &amp; Learning Inquiry</w:t>
      </w:r>
      <w:r w:rsidRPr="00E00E00">
        <w:rPr>
          <w:rFonts w:ascii="Montserrat" w:eastAsia="Calibri" w:hAnsi="Montserrat" w:cs="Calibri"/>
          <w:color w:val="000000"/>
          <w:sz w:val="21"/>
          <w:szCs w:val="21"/>
        </w:rPr>
        <w:t xml:space="preserve"> 1 (1): 121-25. </w:t>
      </w:r>
      <w:hyperlink r:id="rId11">
        <w:r w:rsidRPr="005569CF">
          <w:rPr>
            <w:rFonts w:ascii="Montserrat" w:eastAsia="Calibri" w:hAnsi="Montserrat" w:cs="Calibri"/>
            <w:color w:val="527B82"/>
            <w:sz w:val="21"/>
            <w:szCs w:val="21"/>
            <w:u w:val="single"/>
          </w:rPr>
          <w:t>https://doi.org/10.20343/teachlearninqu.1.1.121</w:t>
        </w:r>
      </w:hyperlink>
      <w:r w:rsidRPr="00E00E00">
        <w:rPr>
          <w:rFonts w:ascii="Montserrat" w:eastAsia="Calibri" w:hAnsi="Montserrat" w:cs="Calibri"/>
          <w:color w:val="000000"/>
          <w:sz w:val="21"/>
          <w:szCs w:val="21"/>
        </w:rPr>
        <w:t>.</w:t>
      </w:r>
    </w:p>
    <w:p w14:paraId="0BEDB91C" w14:textId="77777777" w:rsidR="00AC2C5A" w:rsidRPr="00E00E00" w:rsidRDefault="00AC2C5A" w:rsidP="00E00E00">
      <w:pPr>
        <w:spacing w:line="240" w:lineRule="auto"/>
        <w:ind w:left="720" w:hanging="720"/>
        <w:rPr>
          <w:rFonts w:ascii="Montserrat" w:eastAsia="Calibri" w:hAnsi="Montserrat" w:cs="Calibri"/>
          <w:color w:val="000000"/>
          <w:sz w:val="21"/>
          <w:szCs w:val="21"/>
        </w:rPr>
      </w:pPr>
    </w:p>
    <w:p w14:paraId="39E32E21" w14:textId="77777777"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r w:rsidRPr="00E00E00">
        <w:rPr>
          <w:rFonts w:ascii="Montserrat" w:eastAsia="Calibri" w:hAnsi="Montserrat" w:cs="Calibri"/>
          <w:color w:val="222222"/>
          <w:sz w:val="21"/>
          <w:szCs w:val="21"/>
          <w:highlight w:val="white"/>
        </w:rPr>
        <w:t xml:space="preserve">Potter, Michael K., and Erika D.H. Kustra. 2011. “The Relationship between Scholarly Teaching and SoTL: Models, Distinctions, and Clarifications.” </w:t>
      </w:r>
      <w:r w:rsidRPr="00E00E00">
        <w:rPr>
          <w:rFonts w:ascii="Montserrat" w:eastAsia="Calibri" w:hAnsi="Montserrat" w:cs="Calibri"/>
          <w:i/>
          <w:iCs/>
          <w:color w:val="222222"/>
          <w:sz w:val="21"/>
          <w:szCs w:val="21"/>
          <w:highlight w:val="white"/>
        </w:rPr>
        <w:t>International Journal for the Scholarship of Teaching and Learning</w:t>
      </w:r>
      <w:r w:rsidRPr="00E00E00">
        <w:rPr>
          <w:rFonts w:ascii="Montserrat" w:eastAsia="Calibri" w:hAnsi="Montserrat" w:cs="Calibri"/>
          <w:color w:val="222222"/>
          <w:sz w:val="21"/>
          <w:szCs w:val="21"/>
          <w:highlight w:val="white"/>
        </w:rPr>
        <w:t xml:space="preserve"> 5(1): 1-18. </w:t>
      </w:r>
      <w:hyperlink r:id="rId12">
        <w:r w:rsidRPr="005569CF">
          <w:rPr>
            <w:rFonts w:ascii="Montserrat" w:eastAsia="Calibri" w:hAnsi="Montserrat" w:cs="Calibri"/>
            <w:color w:val="527B82"/>
            <w:sz w:val="21"/>
            <w:szCs w:val="21"/>
            <w:highlight w:val="white"/>
            <w:u w:val="single"/>
          </w:rPr>
          <w:t>https://doi.org/10.20429/ijsotl.2011.050123</w:t>
        </w:r>
      </w:hyperlink>
      <w:r w:rsidRPr="00E00E00">
        <w:rPr>
          <w:rFonts w:ascii="Montserrat" w:eastAsia="Calibri" w:hAnsi="Montserrat" w:cs="Calibri"/>
          <w:color w:val="222222"/>
          <w:sz w:val="21"/>
          <w:szCs w:val="21"/>
          <w:highlight w:val="white"/>
        </w:rPr>
        <w:t>.</w:t>
      </w:r>
    </w:p>
    <w:p w14:paraId="5B6D825A" w14:textId="77777777"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p>
    <w:p w14:paraId="132E92C9" w14:textId="6971436D"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r w:rsidRPr="00E00E00">
        <w:rPr>
          <w:rFonts w:ascii="Montserrat" w:eastAsia="Calibri" w:hAnsi="Montserrat" w:cs="Calibri"/>
          <w:color w:val="222222"/>
          <w:sz w:val="21"/>
          <w:szCs w:val="21"/>
          <w:highlight w:val="white"/>
        </w:rPr>
        <w:t xml:space="preserve">Samuel, Michael Anthony. 2017. “Developing a Syntax for SOTL.” </w:t>
      </w:r>
      <w:r w:rsidRPr="00E00E00">
        <w:rPr>
          <w:rFonts w:ascii="Montserrat" w:eastAsia="Calibri" w:hAnsi="Montserrat" w:cs="Calibri"/>
          <w:i/>
          <w:iCs/>
          <w:color w:val="222222"/>
          <w:sz w:val="21"/>
          <w:szCs w:val="21"/>
          <w:highlight w:val="white"/>
        </w:rPr>
        <w:t>Scholarship of Teaching and Learning in the South</w:t>
      </w:r>
      <w:r w:rsidRPr="00E00E00">
        <w:rPr>
          <w:rFonts w:ascii="Montserrat" w:eastAsia="Calibri" w:hAnsi="Montserrat" w:cs="Calibri"/>
          <w:color w:val="222222"/>
          <w:sz w:val="21"/>
          <w:szCs w:val="21"/>
          <w:highlight w:val="white"/>
        </w:rPr>
        <w:t xml:space="preserve"> 1 (1): 19-38. </w:t>
      </w:r>
      <w:hyperlink r:id="rId13">
        <w:r w:rsidRPr="005569CF">
          <w:rPr>
            <w:rFonts w:ascii="Montserrat" w:eastAsia="Calibri" w:hAnsi="Montserrat" w:cs="Calibri"/>
            <w:color w:val="527B82"/>
            <w:sz w:val="21"/>
            <w:szCs w:val="21"/>
            <w:highlight w:val="white"/>
            <w:u w:val="single"/>
          </w:rPr>
          <w:t>https://doi.org/10.36615/sotls.v1i1.11</w:t>
        </w:r>
      </w:hyperlink>
      <w:r w:rsidRPr="00E00E00">
        <w:rPr>
          <w:rFonts w:ascii="Montserrat" w:eastAsia="Calibri" w:hAnsi="Montserrat" w:cs="Calibri"/>
          <w:color w:val="222222"/>
          <w:sz w:val="21"/>
          <w:szCs w:val="21"/>
          <w:highlight w:val="white"/>
        </w:rPr>
        <w:t>.</w:t>
      </w:r>
    </w:p>
    <w:p w14:paraId="7CC1E58F" w14:textId="77777777" w:rsidR="00AC2C5A" w:rsidRPr="00E00E00" w:rsidRDefault="00AC2C5A" w:rsidP="00E00E00">
      <w:pPr>
        <w:spacing w:line="240" w:lineRule="auto"/>
        <w:ind w:left="720" w:hanging="720"/>
        <w:rPr>
          <w:rFonts w:ascii="Montserrat" w:eastAsia="Calibri" w:hAnsi="Montserrat" w:cs="Calibri"/>
          <w:color w:val="222222"/>
          <w:sz w:val="21"/>
          <w:szCs w:val="21"/>
          <w:highlight w:val="white"/>
        </w:rPr>
      </w:pPr>
    </w:p>
    <w:p w14:paraId="35909629" w14:textId="0D12EB10" w:rsidR="00AC2C5A" w:rsidRPr="00E00E00" w:rsidRDefault="00AC2C5A" w:rsidP="00E00E00">
      <w:pPr>
        <w:spacing w:line="240" w:lineRule="auto"/>
        <w:ind w:left="720" w:hanging="720"/>
        <w:rPr>
          <w:rFonts w:ascii="Montserrat" w:eastAsia="Calibri" w:hAnsi="Montserrat" w:cs="Calibri"/>
          <w:color w:val="000000"/>
          <w:sz w:val="21"/>
          <w:szCs w:val="21"/>
        </w:rPr>
      </w:pPr>
      <w:r w:rsidRPr="00E00E00">
        <w:rPr>
          <w:rFonts w:ascii="Montserrat" w:eastAsia="Calibri" w:hAnsi="Montserrat" w:cs="Calibri"/>
          <w:color w:val="000000" w:themeColor="text1"/>
          <w:sz w:val="21"/>
          <w:szCs w:val="21"/>
        </w:rPr>
        <w:t xml:space="preserve">Trigwell, Keith, and Suzanne Shale. 2004. “Student Learning and the Scholarship of Teaching and Learning.” </w:t>
      </w:r>
      <w:r w:rsidRPr="00E00E00">
        <w:rPr>
          <w:rFonts w:ascii="Montserrat" w:eastAsia="Calibri" w:hAnsi="Montserrat" w:cs="Calibri"/>
          <w:i/>
          <w:iCs/>
          <w:color w:val="000000" w:themeColor="text1"/>
          <w:sz w:val="21"/>
          <w:szCs w:val="21"/>
        </w:rPr>
        <w:t xml:space="preserve">Studies in Higher Education </w:t>
      </w:r>
      <w:r w:rsidRPr="00E00E00">
        <w:rPr>
          <w:rFonts w:ascii="Montserrat" w:eastAsia="Calibri" w:hAnsi="Montserrat" w:cs="Calibri"/>
          <w:color w:val="000000" w:themeColor="text1"/>
          <w:sz w:val="21"/>
          <w:szCs w:val="21"/>
        </w:rPr>
        <w:t xml:space="preserve">29 (4): 523-536. </w:t>
      </w:r>
      <w:hyperlink r:id="rId14">
        <w:r w:rsidRPr="005569CF">
          <w:rPr>
            <w:rFonts w:ascii="Montserrat" w:eastAsia="Calibri" w:hAnsi="Montserrat" w:cs="Calibri"/>
            <w:color w:val="527B82"/>
            <w:sz w:val="21"/>
            <w:szCs w:val="21"/>
            <w:u w:val="single"/>
          </w:rPr>
          <w:t>https://doi.org/10.1080/0307507042000236407</w:t>
        </w:r>
      </w:hyperlink>
      <w:r w:rsidR="005569CF" w:rsidRPr="005569CF">
        <w:rPr>
          <w:rFonts w:ascii="Montserrat" w:eastAsia="Calibri" w:hAnsi="Montserrat" w:cs="Calibri"/>
          <w:color w:val="000000" w:themeColor="text1"/>
          <w:sz w:val="21"/>
          <w:szCs w:val="21"/>
        </w:rPr>
        <w:t>.</w:t>
      </w:r>
    </w:p>
    <w:p w14:paraId="626712A6" w14:textId="77777777" w:rsidR="0016198B" w:rsidRDefault="0016198B" w:rsidP="00345AB0">
      <w:pPr>
        <w:spacing w:line="240" w:lineRule="auto"/>
        <w:ind w:left="720" w:hanging="720"/>
        <w:rPr>
          <w:rFonts w:ascii="Montserrat" w:hAnsi="Montserrat" w:cs="Calibri"/>
          <w:color w:val="000000" w:themeColor="text1"/>
          <w:sz w:val="22"/>
          <w:szCs w:val="22"/>
        </w:rPr>
      </w:pPr>
    </w:p>
    <w:p w14:paraId="5FB03687" w14:textId="77777777" w:rsidR="0016198B" w:rsidRDefault="0016198B" w:rsidP="00345AB0">
      <w:pPr>
        <w:spacing w:line="240" w:lineRule="auto"/>
        <w:ind w:left="720" w:hanging="720"/>
        <w:rPr>
          <w:rFonts w:ascii="Montserrat" w:hAnsi="Montserrat" w:cs="Calibri"/>
          <w:color w:val="000000" w:themeColor="text1"/>
          <w:sz w:val="22"/>
          <w:szCs w:val="22"/>
        </w:rPr>
      </w:pPr>
    </w:p>
    <w:p w14:paraId="6443642D" w14:textId="77777777" w:rsidR="0016198B" w:rsidRDefault="0016198B" w:rsidP="00345AB0">
      <w:pPr>
        <w:spacing w:line="240" w:lineRule="auto"/>
        <w:ind w:left="720" w:hanging="720"/>
        <w:rPr>
          <w:rFonts w:ascii="Montserrat" w:hAnsi="Montserrat" w:cs="Calibri"/>
          <w:color w:val="000000" w:themeColor="text1"/>
          <w:sz w:val="22"/>
          <w:szCs w:val="22"/>
        </w:rPr>
      </w:pPr>
    </w:p>
    <w:p w14:paraId="6FC79BE0" w14:textId="77777777" w:rsidR="0016198B" w:rsidRDefault="0016198B" w:rsidP="00345AB0">
      <w:pPr>
        <w:spacing w:line="240" w:lineRule="auto"/>
        <w:ind w:left="720" w:hanging="720"/>
        <w:rPr>
          <w:rFonts w:ascii="Montserrat" w:hAnsi="Montserrat" w:cs="Calibri"/>
          <w:color w:val="000000" w:themeColor="text1"/>
          <w:sz w:val="22"/>
          <w:szCs w:val="22"/>
        </w:rPr>
      </w:pPr>
    </w:p>
    <w:p w14:paraId="26B92D9C" w14:textId="77777777" w:rsidR="0016198B" w:rsidRDefault="0016198B" w:rsidP="00345AB0">
      <w:pPr>
        <w:spacing w:line="240" w:lineRule="auto"/>
        <w:ind w:left="720" w:hanging="720"/>
        <w:rPr>
          <w:rFonts w:ascii="Montserrat" w:hAnsi="Montserrat" w:cs="Calibri"/>
          <w:color w:val="000000" w:themeColor="text1"/>
          <w:sz w:val="22"/>
          <w:szCs w:val="22"/>
        </w:rPr>
      </w:pPr>
    </w:p>
    <w:p w14:paraId="04B4661B" w14:textId="77777777" w:rsidR="0016198B" w:rsidRDefault="0016198B" w:rsidP="00345AB0">
      <w:pPr>
        <w:spacing w:line="240" w:lineRule="auto"/>
        <w:ind w:left="720" w:hanging="720"/>
        <w:rPr>
          <w:rFonts w:ascii="Montserrat" w:hAnsi="Montserrat" w:cs="Calibri"/>
          <w:color w:val="000000" w:themeColor="text1"/>
          <w:sz w:val="22"/>
          <w:szCs w:val="22"/>
        </w:rPr>
      </w:pPr>
    </w:p>
    <w:p w14:paraId="69CC406B" w14:textId="77777777" w:rsidR="0016198B" w:rsidRDefault="0016198B" w:rsidP="00345AB0">
      <w:pPr>
        <w:spacing w:line="240" w:lineRule="auto"/>
        <w:ind w:left="720" w:hanging="720"/>
        <w:rPr>
          <w:rFonts w:ascii="Montserrat" w:hAnsi="Montserrat" w:cs="Calibri"/>
          <w:color w:val="000000" w:themeColor="text1"/>
          <w:sz w:val="22"/>
          <w:szCs w:val="22"/>
        </w:rPr>
      </w:pPr>
    </w:p>
    <w:p w14:paraId="5F231FFF" w14:textId="77777777" w:rsidR="0016198B" w:rsidRDefault="0016198B" w:rsidP="00345AB0">
      <w:pPr>
        <w:spacing w:line="240" w:lineRule="auto"/>
        <w:ind w:left="720" w:hanging="720"/>
        <w:rPr>
          <w:rFonts w:ascii="Montserrat" w:hAnsi="Montserrat" w:cs="Calibri"/>
          <w:color w:val="000000" w:themeColor="text1"/>
          <w:sz w:val="22"/>
          <w:szCs w:val="22"/>
        </w:rPr>
      </w:pPr>
    </w:p>
    <w:p w14:paraId="5622B738" w14:textId="77777777" w:rsidR="0016198B" w:rsidRDefault="0016198B" w:rsidP="00345AB0">
      <w:pPr>
        <w:spacing w:line="240" w:lineRule="auto"/>
        <w:ind w:left="720" w:hanging="720"/>
        <w:rPr>
          <w:rFonts w:ascii="Montserrat" w:hAnsi="Montserrat" w:cs="Calibri"/>
          <w:color w:val="000000" w:themeColor="text1"/>
          <w:sz w:val="22"/>
          <w:szCs w:val="22"/>
        </w:rPr>
      </w:pPr>
    </w:p>
    <w:p w14:paraId="66085E79" w14:textId="77777777" w:rsidR="0016198B" w:rsidRDefault="0016198B" w:rsidP="00345AB0">
      <w:pPr>
        <w:spacing w:line="240" w:lineRule="auto"/>
        <w:ind w:left="720" w:hanging="720"/>
        <w:rPr>
          <w:rFonts w:ascii="Montserrat" w:hAnsi="Montserrat" w:cs="Calibri"/>
          <w:color w:val="000000" w:themeColor="text1"/>
          <w:sz w:val="22"/>
          <w:szCs w:val="22"/>
        </w:rPr>
      </w:pPr>
    </w:p>
    <w:p w14:paraId="004C3FBC" w14:textId="77777777" w:rsidR="0016198B" w:rsidRDefault="0016198B" w:rsidP="00345AB0">
      <w:pPr>
        <w:spacing w:line="240" w:lineRule="auto"/>
        <w:ind w:left="720" w:hanging="720"/>
        <w:rPr>
          <w:rFonts w:ascii="Montserrat" w:hAnsi="Montserrat" w:cs="Calibri"/>
          <w:color w:val="000000" w:themeColor="text1"/>
          <w:sz w:val="22"/>
          <w:szCs w:val="22"/>
        </w:rPr>
      </w:pPr>
    </w:p>
    <w:p w14:paraId="113BDA95" w14:textId="77777777" w:rsidR="0016198B" w:rsidRDefault="0016198B" w:rsidP="00345AB0">
      <w:pPr>
        <w:spacing w:line="240" w:lineRule="auto"/>
        <w:ind w:left="720" w:hanging="720"/>
        <w:rPr>
          <w:rFonts w:ascii="Montserrat" w:hAnsi="Montserrat" w:cs="Calibri"/>
          <w:color w:val="000000" w:themeColor="text1"/>
          <w:sz w:val="22"/>
          <w:szCs w:val="22"/>
        </w:rPr>
      </w:pPr>
    </w:p>
    <w:p w14:paraId="06E31001" w14:textId="77777777" w:rsidR="0016198B" w:rsidRDefault="0016198B" w:rsidP="00345AB0">
      <w:pPr>
        <w:spacing w:line="240" w:lineRule="auto"/>
        <w:ind w:left="720" w:hanging="720"/>
        <w:rPr>
          <w:rFonts w:ascii="Montserrat" w:hAnsi="Montserrat" w:cs="Calibri"/>
          <w:color w:val="000000" w:themeColor="text1"/>
          <w:sz w:val="22"/>
          <w:szCs w:val="22"/>
        </w:rPr>
      </w:pPr>
    </w:p>
    <w:p w14:paraId="502B858A" w14:textId="77777777" w:rsidR="0016198B" w:rsidRDefault="0016198B" w:rsidP="00345AB0">
      <w:pPr>
        <w:spacing w:line="240" w:lineRule="auto"/>
        <w:ind w:left="720" w:hanging="720"/>
        <w:rPr>
          <w:rFonts w:ascii="Montserrat" w:hAnsi="Montserrat" w:cs="Calibri"/>
          <w:color w:val="000000" w:themeColor="text1"/>
          <w:sz w:val="22"/>
          <w:szCs w:val="22"/>
        </w:rPr>
      </w:pPr>
    </w:p>
    <w:p w14:paraId="3E2B611D" w14:textId="77777777" w:rsidR="0016198B" w:rsidRDefault="0016198B" w:rsidP="00345AB0">
      <w:pPr>
        <w:spacing w:line="240" w:lineRule="auto"/>
        <w:ind w:left="720" w:hanging="720"/>
        <w:rPr>
          <w:rFonts w:ascii="Montserrat" w:hAnsi="Montserrat" w:cs="Calibri"/>
          <w:color w:val="000000" w:themeColor="text1"/>
          <w:sz w:val="22"/>
          <w:szCs w:val="22"/>
        </w:rPr>
      </w:pPr>
    </w:p>
    <w:p w14:paraId="323C1584" w14:textId="77777777" w:rsidR="0016198B" w:rsidRDefault="0016198B" w:rsidP="00345AB0">
      <w:pPr>
        <w:spacing w:line="240" w:lineRule="auto"/>
        <w:ind w:left="720" w:hanging="720"/>
        <w:rPr>
          <w:rFonts w:ascii="Montserrat" w:hAnsi="Montserrat" w:cs="Calibri"/>
          <w:color w:val="000000" w:themeColor="text1"/>
          <w:sz w:val="22"/>
          <w:szCs w:val="22"/>
        </w:rPr>
      </w:pPr>
    </w:p>
    <w:p w14:paraId="433D9294" w14:textId="77777777" w:rsidR="0016198B" w:rsidRDefault="0016198B" w:rsidP="00345AB0">
      <w:pPr>
        <w:spacing w:line="240" w:lineRule="auto"/>
        <w:ind w:left="720" w:hanging="720"/>
        <w:rPr>
          <w:rFonts w:ascii="Montserrat" w:hAnsi="Montserrat" w:cs="Calibri"/>
          <w:color w:val="000000" w:themeColor="text1"/>
          <w:sz w:val="22"/>
          <w:szCs w:val="22"/>
        </w:rPr>
      </w:pPr>
    </w:p>
    <w:p w14:paraId="556E56FC" w14:textId="77777777" w:rsidR="0016198B" w:rsidRDefault="0016198B" w:rsidP="00345AB0">
      <w:pPr>
        <w:spacing w:line="240" w:lineRule="auto"/>
        <w:ind w:left="720" w:hanging="720"/>
        <w:rPr>
          <w:rFonts w:ascii="Montserrat" w:hAnsi="Montserrat" w:cs="Calibri"/>
          <w:color w:val="000000" w:themeColor="text1"/>
          <w:sz w:val="22"/>
          <w:szCs w:val="22"/>
        </w:rPr>
      </w:pPr>
    </w:p>
    <w:p w14:paraId="3267FC96" w14:textId="77777777" w:rsidR="0016198B" w:rsidRDefault="0016198B" w:rsidP="00345AB0">
      <w:pPr>
        <w:spacing w:line="240" w:lineRule="auto"/>
        <w:ind w:left="720" w:hanging="720"/>
        <w:rPr>
          <w:rFonts w:ascii="Montserrat" w:hAnsi="Montserrat" w:cs="Calibri"/>
          <w:color w:val="000000" w:themeColor="text1"/>
          <w:sz w:val="22"/>
          <w:szCs w:val="22"/>
        </w:rPr>
      </w:pPr>
    </w:p>
    <w:p w14:paraId="11B07336" w14:textId="77777777" w:rsidR="0016198B" w:rsidRDefault="0016198B" w:rsidP="00345AB0">
      <w:pPr>
        <w:spacing w:line="240" w:lineRule="auto"/>
        <w:ind w:left="720" w:hanging="720"/>
        <w:rPr>
          <w:rFonts w:ascii="Montserrat" w:hAnsi="Montserrat" w:cs="Calibri"/>
          <w:color w:val="000000" w:themeColor="text1"/>
          <w:sz w:val="22"/>
          <w:szCs w:val="22"/>
        </w:rPr>
      </w:pPr>
    </w:p>
    <w:p w14:paraId="7C5CBDF5" w14:textId="77777777" w:rsidR="0016198B" w:rsidRDefault="0016198B" w:rsidP="00345AB0">
      <w:pPr>
        <w:spacing w:line="240" w:lineRule="auto"/>
        <w:ind w:left="720" w:hanging="720"/>
        <w:rPr>
          <w:rFonts w:ascii="Montserrat" w:hAnsi="Montserrat" w:cs="Calibri"/>
          <w:color w:val="000000" w:themeColor="text1"/>
          <w:sz w:val="22"/>
          <w:szCs w:val="22"/>
        </w:rPr>
      </w:pPr>
    </w:p>
    <w:p w14:paraId="7C4BA723" w14:textId="77777777" w:rsidR="0016198B" w:rsidRDefault="0016198B" w:rsidP="00345AB0">
      <w:pPr>
        <w:spacing w:line="240" w:lineRule="auto"/>
        <w:ind w:left="720" w:hanging="720"/>
        <w:rPr>
          <w:rFonts w:ascii="Montserrat" w:hAnsi="Montserrat" w:cs="Calibri"/>
          <w:color w:val="000000" w:themeColor="text1"/>
          <w:sz w:val="22"/>
          <w:szCs w:val="22"/>
        </w:rPr>
      </w:pPr>
    </w:p>
    <w:p w14:paraId="2E73E80A" w14:textId="77777777" w:rsidR="0016198B" w:rsidRDefault="0016198B" w:rsidP="00345AB0">
      <w:pPr>
        <w:spacing w:line="240" w:lineRule="auto"/>
        <w:ind w:left="720" w:hanging="720"/>
        <w:rPr>
          <w:rFonts w:ascii="Montserrat" w:hAnsi="Montserrat" w:cs="Calibri"/>
          <w:color w:val="000000" w:themeColor="text1"/>
          <w:sz w:val="22"/>
          <w:szCs w:val="22"/>
        </w:rPr>
      </w:pPr>
    </w:p>
    <w:p w14:paraId="316D4C4E" w14:textId="77777777" w:rsidR="0016198B" w:rsidRDefault="0016198B" w:rsidP="00345AB0">
      <w:pPr>
        <w:spacing w:line="240" w:lineRule="auto"/>
        <w:ind w:left="720" w:hanging="720"/>
        <w:rPr>
          <w:rFonts w:ascii="Montserrat" w:hAnsi="Montserrat" w:cs="Calibri"/>
          <w:color w:val="000000" w:themeColor="text1"/>
          <w:sz w:val="22"/>
          <w:szCs w:val="22"/>
        </w:rPr>
      </w:pPr>
    </w:p>
    <w:p w14:paraId="4B43DF92" w14:textId="77777777" w:rsidR="0016198B" w:rsidRDefault="0016198B" w:rsidP="00345AB0">
      <w:pPr>
        <w:spacing w:line="240" w:lineRule="auto"/>
        <w:ind w:left="720" w:hanging="720"/>
        <w:rPr>
          <w:rFonts w:ascii="Montserrat" w:hAnsi="Montserrat" w:cs="Calibri"/>
          <w:color w:val="000000" w:themeColor="text1"/>
          <w:sz w:val="22"/>
          <w:szCs w:val="22"/>
        </w:rPr>
      </w:pPr>
    </w:p>
    <w:p w14:paraId="4D12EECE" w14:textId="77777777" w:rsidR="0016198B" w:rsidRPr="00520F53" w:rsidRDefault="0016198B" w:rsidP="005569CF">
      <w:pPr>
        <w:spacing w:line="240" w:lineRule="auto"/>
        <w:rPr>
          <w:rFonts w:ascii="Montserrat" w:hAnsi="Montserrat" w:cs="Calibri"/>
          <w:sz w:val="22"/>
          <w:szCs w:val="22"/>
        </w:rPr>
      </w:pPr>
    </w:p>
    <w:sectPr w:rsidR="0016198B" w:rsidRPr="00520F53" w:rsidSect="00935489">
      <w:headerReference w:type="default" r:id="rId15"/>
      <w:footerReference w:type="default" r:id="rId16"/>
      <w:pgSz w:w="12240" w:h="15840"/>
      <w:pgMar w:top="1080" w:right="1080" w:bottom="1080" w:left="108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57A64" w14:textId="77777777" w:rsidR="00C20FA6" w:rsidRDefault="00C20FA6" w:rsidP="007D5E85">
      <w:pPr>
        <w:spacing w:line="240" w:lineRule="auto"/>
      </w:pPr>
      <w:r>
        <w:separator/>
      </w:r>
    </w:p>
  </w:endnote>
  <w:endnote w:type="continuationSeparator" w:id="0">
    <w:p w14:paraId="25180A68" w14:textId="77777777" w:rsidR="00C20FA6" w:rsidRDefault="00C20FA6" w:rsidP="007D5E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Montserrat Medium">
    <w:panose1 w:val="000006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43AE7F54" w:rsidR="004D28C9" w:rsidRDefault="00782718" w:rsidP="00782718">
    <w:pPr>
      <w:pStyle w:val="Footer"/>
      <w:jc w:val="right"/>
    </w:pPr>
    <w:r>
      <w:rPr>
        <w:noProof/>
      </w:rPr>
      <w:drawing>
        <wp:anchor distT="0" distB="0" distL="114300" distR="114300" simplePos="0" relativeHeight="251661312" behindDoc="0" locked="0" layoutInCell="1" allowOverlap="1" wp14:anchorId="18578246" wp14:editId="0FB753D3">
          <wp:simplePos x="0" y="0"/>
          <wp:positionH relativeFrom="margin">
            <wp:posOffset>4798060</wp:posOffset>
          </wp:positionH>
          <wp:positionV relativeFrom="margin">
            <wp:posOffset>8187309</wp:posOffset>
          </wp:positionV>
          <wp:extent cx="2049145" cy="494665"/>
          <wp:effectExtent l="0" t="0" r="0" b="0"/>
          <wp:wrapSquare wrapText="bothSides"/>
          <wp:docPr id="308398932"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5E755" w14:textId="77777777" w:rsidR="00C20FA6" w:rsidRDefault="00C20FA6" w:rsidP="007D5E85">
      <w:pPr>
        <w:spacing w:line="240" w:lineRule="auto"/>
      </w:pPr>
      <w:r>
        <w:separator/>
      </w:r>
    </w:p>
  </w:footnote>
  <w:footnote w:type="continuationSeparator" w:id="0">
    <w:p w14:paraId="293EF098" w14:textId="77777777" w:rsidR="00C20FA6" w:rsidRDefault="00C20FA6" w:rsidP="007D5E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B4B94" w14:textId="1A9681AC" w:rsidR="007D5E85" w:rsidRPr="00390965" w:rsidRDefault="00632CAA" w:rsidP="007D5E85">
    <w:pPr>
      <w:pStyle w:val="Subtitle"/>
      <w:rPr>
        <w:color w:val="FFFFFF" w:themeColor="background1"/>
        <w:sz w:val="21"/>
        <w:szCs w:val="21"/>
      </w:rPr>
    </w:pPr>
    <w:r w:rsidRPr="00390965">
      <w:rPr>
        <w:rFonts w:cs="Calibri"/>
        <w:noProof/>
        <w:sz w:val="20"/>
        <w:szCs w:val="20"/>
      </w:rPr>
      <w:drawing>
        <wp:anchor distT="0" distB="0" distL="114300" distR="114300" simplePos="0" relativeHeight="251663360" behindDoc="0" locked="0" layoutInCell="1" allowOverlap="1" wp14:anchorId="46B8C6A5" wp14:editId="61870DF9">
          <wp:simplePos x="0" y="0"/>
          <wp:positionH relativeFrom="column">
            <wp:posOffset>-454025</wp:posOffset>
          </wp:positionH>
          <wp:positionV relativeFrom="paragraph">
            <wp:posOffset>-215900</wp:posOffset>
          </wp:positionV>
          <wp:extent cx="603250" cy="905510"/>
          <wp:effectExtent l="88900" t="88900" r="31750" b="21590"/>
          <wp:wrapSquare wrapText="bothSides"/>
          <wp:docPr id="1158388726" name="Picture 3" descr="A book cover with a compass and a comp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descr="A book cover with a compass and a compa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3250" cy="90551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0143B" w:rsidRPr="00390965">
      <w:rPr>
        <w:b/>
        <w:bCs/>
        <w:noProof/>
        <w:sz w:val="20"/>
        <w:szCs w:val="20"/>
      </w:rPr>
      <mc:AlternateContent>
        <mc:Choice Requires="wps">
          <w:drawing>
            <wp:anchor distT="0" distB="0" distL="114300" distR="114300" simplePos="0" relativeHeight="251659264" behindDoc="1" locked="0" layoutInCell="1" allowOverlap="1" wp14:anchorId="6B966DF8" wp14:editId="6E724008">
              <wp:simplePos x="0" y="0"/>
              <wp:positionH relativeFrom="column">
                <wp:posOffset>-717452</wp:posOffset>
              </wp:positionH>
              <wp:positionV relativeFrom="paragraph">
                <wp:posOffset>-548640</wp:posOffset>
              </wp:positionV>
              <wp:extent cx="7877859" cy="1125171"/>
              <wp:effectExtent l="0" t="0" r="0" b="5715"/>
              <wp:wrapNone/>
              <wp:docPr id="456105942" name="Rectangle 1"/>
              <wp:cNvGraphicFramePr/>
              <a:graphic xmlns:a="http://schemas.openxmlformats.org/drawingml/2006/main">
                <a:graphicData uri="http://schemas.microsoft.com/office/word/2010/wordprocessingShape">
                  <wps:wsp>
                    <wps:cNvSpPr/>
                    <wps:spPr>
                      <a:xfrm>
                        <a:off x="0" y="0"/>
                        <a:ext cx="7877859" cy="1125171"/>
                      </a:xfrm>
                      <a:prstGeom prst="rect">
                        <a:avLst/>
                      </a:prstGeom>
                      <a:solidFill>
                        <a:srgbClr val="0029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6AA9B9E" id="Rectangle 1" o:spid="_x0000_s1026" style="position:absolute;margin-left:-56.5pt;margin-top:-43.2pt;width:620.3pt;height:8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" fillcolor="#00292b" stroked="f" strokeweight="1pt"/>
          </w:pict>
        </mc:Fallback>
      </mc:AlternateContent>
    </w:r>
    <w:r w:rsidR="007D5E85" w:rsidRPr="00390965">
      <w:rPr>
        <w:color w:val="FFFFFF" w:themeColor="background1"/>
        <w:sz w:val="20"/>
        <w:szCs w:val="20"/>
      </w:rPr>
      <w:t>CHAPTER</w:t>
    </w:r>
    <w:r w:rsidR="007D5E85" w:rsidRPr="00390965">
      <w:rPr>
        <w:color w:val="FFFFFF" w:themeColor="background1"/>
        <w:sz w:val="21"/>
        <w:szCs w:val="21"/>
      </w:rPr>
      <w:t xml:space="preserve"> 1</w:t>
    </w:r>
  </w:p>
  <w:p w14:paraId="4726D422" w14:textId="40AE244C" w:rsidR="007D5E85" w:rsidRPr="00390965" w:rsidRDefault="007D5E85" w:rsidP="00AF2EA6">
    <w:pPr>
      <w:pStyle w:val="Title"/>
      <w:spacing w:line="600" w:lineRule="auto"/>
      <w:rPr>
        <w:color w:val="FFFFFF" w:themeColor="background1"/>
        <w:sz w:val="32"/>
        <w:szCs w:val="32"/>
      </w:rPr>
    </w:pPr>
    <w:r w:rsidRPr="00390965">
      <w:rPr>
        <w:color w:val="FFFFFF" w:themeColor="background1"/>
        <w:sz w:val="32"/>
        <w:szCs w:val="32"/>
      </w:rPr>
      <w:t>THE SOTL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43008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27C1"/>
    <w:rsid w:val="00012BF9"/>
    <w:rsid w:val="000339A7"/>
    <w:rsid w:val="000640E7"/>
    <w:rsid w:val="00067AE6"/>
    <w:rsid w:val="0007413B"/>
    <w:rsid w:val="000A6665"/>
    <w:rsid w:val="000C4962"/>
    <w:rsid w:val="001529EC"/>
    <w:rsid w:val="0016198B"/>
    <w:rsid w:val="0016732E"/>
    <w:rsid w:val="00171787"/>
    <w:rsid w:val="00172272"/>
    <w:rsid w:val="001D6B40"/>
    <w:rsid w:val="001F7C2F"/>
    <w:rsid w:val="0020143B"/>
    <w:rsid w:val="00222B98"/>
    <w:rsid w:val="00274717"/>
    <w:rsid w:val="00274D76"/>
    <w:rsid w:val="0029624E"/>
    <w:rsid w:val="002C33E1"/>
    <w:rsid w:val="002C7428"/>
    <w:rsid w:val="002E217F"/>
    <w:rsid w:val="003311E8"/>
    <w:rsid w:val="00337C1C"/>
    <w:rsid w:val="0034239C"/>
    <w:rsid w:val="00345AB0"/>
    <w:rsid w:val="00345F3B"/>
    <w:rsid w:val="00370AFD"/>
    <w:rsid w:val="00390965"/>
    <w:rsid w:val="003B0249"/>
    <w:rsid w:val="003E25A7"/>
    <w:rsid w:val="004B5CC3"/>
    <w:rsid w:val="004B6DC6"/>
    <w:rsid w:val="004C4AB4"/>
    <w:rsid w:val="004D28C9"/>
    <w:rsid w:val="004E16FF"/>
    <w:rsid w:val="00500314"/>
    <w:rsid w:val="00503868"/>
    <w:rsid w:val="00511859"/>
    <w:rsid w:val="00511A16"/>
    <w:rsid w:val="00520F53"/>
    <w:rsid w:val="005569CF"/>
    <w:rsid w:val="00594297"/>
    <w:rsid w:val="005C47FE"/>
    <w:rsid w:val="00604A06"/>
    <w:rsid w:val="00622F92"/>
    <w:rsid w:val="00631086"/>
    <w:rsid w:val="00632CAA"/>
    <w:rsid w:val="00676D52"/>
    <w:rsid w:val="00685C72"/>
    <w:rsid w:val="00692482"/>
    <w:rsid w:val="00693F9C"/>
    <w:rsid w:val="006A4B0E"/>
    <w:rsid w:val="006D51DB"/>
    <w:rsid w:val="006F28C9"/>
    <w:rsid w:val="007224EA"/>
    <w:rsid w:val="0073224A"/>
    <w:rsid w:val="00744E6E"/>
    <w:rsid w:val="00751E21"/>
    <w:rsid w:val="00782718"/>
    <w:rsid w:val="00784241"/>
    <w:rsid w:val="007B0275"/>
    <w:rsid w:val="007B1400"/>
    <w:rsid w:val="007C1A6E"/>
    <w:rsid w:val="007C37A1"/>
    <w:rsid w:val="007C702A"/>
    <w:rsid w:val="007D5E85"/>
    <w:rsid w:val="008324BB"/>
    <w:rsid w:val="008E47C7"/>
    <w:rsid w:val="009028F5"/>
    <w:rsid w:val="00935489"/>
    <w:rsid w:val="009525B3"/>
    <w:rsid w:val="00966E9C"/>
    <w:rsid w:val="00986BA0"/>
    <w:rsid w:val="0098720C"/>
    <w:rsid w:val="00987C3E"/>
    <w:rsid w:val="009C1BD0"/>
    <w:rsid w:val="009C3B81"/>
    <w:rsid w:val="009F2FA7"/>
    <w:rsid w:val="009F4432"/>
    <w:rsid w:val="009F58AE"/>
    <w:rsid w:val="00A21248"/>
    <w:rsid w:val="00A279D3"/>
    <w:rsid w:val="00A454BD"/>
    <w:rsid w:val="00A53970"/>
    <w:rsid w:val="00AC20B3"/>
    <w:rsid w:val="00AC2C5A"/>
    <w:rsid w:val="00AF2EA6"/>
    <w:rsid w:val="00AF33D3"/>
    <w:rsid w:val="00AF6833"/>
    <w:rsid w:val="00B03707"/>
    <w:rsid w:val="00B2173C"/>
    <w:rsid w:val="00B81661"/>
    <w:rsid w:val="00BB3B42"/>
    <w:rsid w:val="00C02734"/>
    <w:rsid w:val="00C04183"/>
    <w:rsid w:val="00C20FA6"/>
    <w:rsid w:val="00C96F7A"/>
    <w:rsid w:val="00CF2377"/>
    <w:rsid w:val="00D223B7"/>
    <w:rsid w:val="00D72E32"/>
    <w:rsid w:val="00DD0FDA"/>
    <w:rsid w:val="00E00E00"/>
    <w:rsid w:val="00E00EB6"/>
    <w:rsid w:val="00E0348F"/>
    <w:rsid w:val="00E0768F"/>
    <w:rsid w:val="00E13326"/>
    <w:rsid w:val="00E30E4C"/>
    <w:rsid w:val="00E8547A"/>
    <w:rsid w:val="00E950EB"/>
    <w:rsid w:val="00F059AB"/>
    <w:rsid w:val="00F20A37"/>
    <w:rsid w:val="00F21874"/>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C5A"/>
    <w:pPr>
      <w:outlineLvl w:val="1"/>
    </w:pPr>
    <w:rPr>
      <w:rFonts w:ascii="Montserrat SemiBold" w:hAnsi="Montserrat SemiBold"/>
      <w:sz w:val="36"/>
      <w:szCs w:val="36"/>
    </w:rPr>
  </w:style>
  <w:style w:type="paragraph" w:styleId="Heading3">
    <w:name w:val="heading 3"/>
    <w:basedOn w:val="Normal"/>
    <w:next w:val="Normal"/>
    <w:link w:val="Heading3Char"/>
    <w:uiPriority w:val="9"/>
    <w:unhideWhenUsed/>
    <w:qFormat/>
    <w:rsid w:val="00594297"/>
    <w:pPr>
      <w:keepNext/>
      <w:keepLines/>
      <w:spacing w:before="160"/>
      <w:outlineLvl w:val="2"/>
    </w:pPr>
    <w:rPr>
      <w:rFonts w:ascii="Montserrat Medium" w:eastAsiaTheme="majorEastAsia" w:hAnsi="Montserrat Medium" w:cstheme="majorBidi"/>
      <w:i/>
      <w:iCs/>
      <w:color w:val="0F4761" w:themeColor="accent1" w:themeShade="BF"/>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C5A"/>
    <w:rPr>
      <w:rFonts w:ascii="Montserrat SemiBold" w:hAnsi="Montserrat SemiBold"/>
      <w:b/>
      <w:bCs/>
      <w:color w:val="00292B"/>
      <w:sz w:val="36"/>
      <w:szCs w:val="36"/>
    </w:rPr>
  </w:style>
  <w:style w:type="character" w:customStyle="1" w:styleId="Heading3Char">
    <w:name w:val="Heading 3 Char"/>
    <w:basedOn w:val="DefaultParagraphFont"/>
    <w:link w:val="Heading3"/>
    <w:uiPriority w:val="9"/>
    <w:rsid w:val="00594297"/>
    <w:rPr>
      <w:rFonts w:ascii="Montserrat Medium" w:eastAsiaTheme="majorEastAsia" w:hAnsi="Montserrat Medium" w:cstheme="majorBidi"/>
      <w:i/>
      <w:iCs/>
      <w:color w:val="0F4761" w:themeColor="accent1" w:themeShade="BF"/>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Revision">
    <w:name w:val="Revision"/>
    <w:hidden/>
    <w:uiPriority w:val="99"/>
    <w:semiHidden/>
    <w:rsid w:val="00E30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abs/10.1080/0307507042000236407" TargetMode="External"/><Relationship Id="rId13" Type="http://schemas.openxmlformats.org/officeDocument/2006/relationships/hyperlink" Target="https://doi.org/10.36615/sotls.v1i1.1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20429/ijsotl.2011.05012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0343/teachlearninqu.1.1.121"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journals.uj.ac.za/SOTL/index.php/sotls/article/view/11" TargetMode="External"/><Relationship Id="rId4" Type="http://schemas.openxmlformats.org/officeDocument/2006/relationships/webSettings" Target="webSettings.xml"/><Relationship Id="rId9" Type="http://schemas.openxmlformats.org/officeDocument/2006/relationships/hyperlink" Target="https://journalhosting.ucalgary.ca/index.php/tli/article/view/57376" TargetMode="External"/><Relationship Id="rId14" Type="http://schemas.openxmlformats.org/officeDocument/2006/relationships/hyperlink" Target="https://doi.org/10.1080/03075070420002364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738</Words>
  <Characters>4208</Characters>
  <Application>Microsoft Office Word</Application>
  <DocSecurity>0</DocSecurity>
  <Lines>35</Lines>
  <Paragraphs>9</Paragraphs>
  <ScaleCrop>false</ScaleCrop>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63</cp:revision>
  <dcterms:created xsi:type="dcterms:W3CDTF">2025-02-15T11:28:00Z</dcterms:created>
  <dcterms:modified xsi:type="dcterms:W3CDTF">2026-01-05T18:38:00Z</dcterms:modified>
</cp:coreProperties>
</file>